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JBTM</w:t>
      </w:r>
    </w:p>
    <w:p>
      <w:pPr>
        <w:spacing w:after="40"/>
      </w:pPr>
      <w:r>
        <w:rPr>
          <w:rFonts w:ascii="Arial" w:hAnsi="Arial"/>
          <w:b/>
          <w:color w:val="1F3D6B"/>
          <w:sz w:val="20"/>
        </w:rPr>
        <w:t xml:space="preserve">CLAUDE ANALYSIS: </w:t>
      </w:r>
      <w:r>
        <w:rPr>
          <w:rFonts w:ascii="Arial" w:hAnsi="Arial"/>
          <w:b/>
          <w:color w:val="C00000"/>
          <w:sz w:val="20"/>
        </w:rPr>
        <w:t>HIGH</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4  |  Borderline: 2  |  Dismissed: 2</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2025-08-07)</w:t>
            </w:r>
          </w:p>
        </w:tc>
        <w:tc>
          <w:tcPr>
            <w:tcW w:type="dxa" w:w="7200"/>
          </w:tcPr>
          <w:p>
            <w:pPr>
              <w:spacing w:before="60" w:after="60"/>
            </w:pPr>
            <w:r>
              <w:rPr>
                <w:rFonts w:ascii="Arial" w:hAnsi="Arial"/>
                <w:sz w:val="17"/>
              </w:rPr>
              <w:t>Vagueness: 0.3616  |  Complexity: 0.1424</w:t>
            </w:r>
          </w:p>
        </w:tc>
      </w:tr>
      <w:tr>
        <w:tc>
          <w:tcPr>
            <w:tcW w:type="dxa" w:w="2880"/>
            <w:shd w:val="clear" w:color="auto" w:fill="EBF3FB"/>
          </w:tcPr>
          <w:p>
            <w:pPr>
              <w:spacing w:before="60" w:after="60"/>
            </w:pPr>
            <w:r>
              <w:rPr>
                <w:rFonts w:ascii="Arial" w:hAnsi="Arial"/>
                <w:b/>
                <w:sz w:val="17"/>
              </w:rPr>
              <w:t>Prior (10-Q 2025-05-05)</w:t>
            </w:r>
          </w:p>
        </w:tc>
        <w:tc>
          <w:tcPr>
            <w:tcW w:type="dxa" w:w="7200"/>
          </w:tcPr>
          <w:p>
            <w:pPr>
              <w:spacing w:before="60" w:after="60"/>
            </w:pPr>
            <w:r>
              <w:rPr>
                <w:rFonts w:ascii="Arial" w:hAnsi="Arial"/>
                <w:sz w:val="17"/>
              </w:rPr>
              <w:t>Vagueness: 0.3890  |  Complexity: 0.1568</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-0.0274  |  Complexity: -0.0144</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JBT Marel (JBTM) presents a meaningful supply chain monitoring concern following the systematic removal of tariff, trade, and supply chain risk disclosures from its August 2025 10-Q despite an unchanged trade policy environment. The Claude Analysis signal is HIGH, driven by four genuine flags including disappeared risk factors and softened integration language. The FinBERT signal is LOW, with vagueness well below the sector mean, reflecting improving quantitative readability rather than content completeness. This divergence suggests JBTM's filings read clearly but may now omit material risks. Recommend elevated monitoring and direct engagement.</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JBTM's FinBERT vagueness score of 0.3616 sits 14.5 points below the sector mean of 0.5066, placing it firmly below the 25th percentile and indicating above-average linguistic clarity. The trend is consistently improving, declining from 0.6941 in the February 2024 10-K to 0.3616 in the latest filing. However, this improvement partly reflects the removal of lengthy, hedged risk factor language — filings can score as less vague precisely because cautionary disclosures have been stripped out, which is the pattern identified by the qualitative analysis.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Between the May and August 2025 10-Q filings, JBTM removed an entire cluster of tariff and trade risk disclosures that had specifically warned the company "may not be able to fully mitigate the impact of these increased costs or pass price increases on to our customers" (see 10-Q filed 2025-05-05, p.34). A companion risk factor addressing retaliatory trade measures and supply chain cost increases was simultaneously eliminated (see 10-Q filed 2025-05-05, p.34), as was a standalone risk factor acknowledging that "any existing or future tariffs could have a material adverse effect on our results of operations, financial position and cash flows." This wholesale removal occurred during a period of escalating U.S. tariff activity, making the timing particularly concerning for supply chain counterparties reliant on JBTM's cost transparency.</w:t>
      </w:r>
    </w:p>
    <w:p>
      <w:pPr>
        <w:spacing w:after="120" w:before="40"/>
      </w:pPr>
      <w:r>
        <w:rPr>
          <w:rFonts w:ascii="Arial" w:hAnsi="Arial"/>
          <w:i w:val="0"/>
          <w:color w:val="000000"/>
          <w:sz w:val="18"/>
        </w:rPr>
        <w:t>Separately, JBTM softened its Marel acquisition integration risk language by removing specific acknowledgment of potential "delays in implementing the appropriate internal controls and procedures relating to Marel's operations" and the detailed consequences of such delays, including enforcement actions and penalties (see 10-Q filed 2025-08-07, p.39). Given that Marel was a non-U.S. public company not previously subject to Sarbanes-Oxley requirements, the premature removal of this disclosure before integration is confirmed complete raises questions about the status of internal controls remediation.</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JBTM's vagueness score ranks favorably against the 185-company sector universe, but this quantitative advantage is contextualized by the qualitative finding that peer industrial companies such as nVent Electric (NVT) continue to provide specific disclosures on international regulatory risks including Pillar II tax frameworks, while JBTM's corresponding sections contain only generic ESG language (see 10-Q filed 2025-08-07, p.27). The peer comparison should be interpreted cautiously, as the selected comparators may not be perfectly aligned with JBTM's food processing equipment niche.</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review JBTM's Q3 2025 earnings call transcript for any management commentary on tariff exposure, cost pass-through mechanisms, or supply chain sourcing changes that might justify the risk factor removals. Second, verify the current status of Marel internal controls integration by examining the auditor's report and any Item 4 disclosures for material weaknesses or significant deficiencies. Third, benchmark JBTM's tariff risk disclosures against direct peers in food processing equipment to determine whether the removal reflects an industry-wide trend or an idiosyncratic choice.</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15:51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