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F3D6B"/>
          <w:sz w:val="28"/>
        </w:rPr>
        <w:t>SUPPLIER DISCLOSURE RISK MEMO</w:t>
      </w:r>
    </w:p>
    <w:p>
      <w:pPr>
        <w:spacing w:after="80"/>
      </w:pPr>
      <w:r>
        <w:rPr>
          <w:rFonts w:ascii="Arial" w:hAnsi="Arial"/>
          <w:b/>
          <w:color w:val="1F3D6B"/>
          <w:sz w:val="24"/>
        </w:rPr>
        <w:t>JCI</w:t>
      </w:r>
    </w:p>
    <w:p>
      <w:pPr>
        <w:spacing w:after="40"/>
      </w:pPr>
      <w:r>
        <w:rPr>
          <w:rFonts w:ascii="Arial" w:hAnsi="Arial"/>
          <w:b/>
          <w:color w:val="1F3D6B"/>
          <w:sz w:val="20"/>
        </w:rPr>
        <w:t xml:space="preserve">CLAUDE ANALYSIS: </w:t>
      </w:r>
      <w:r>
        <w:rPr>
          <w:rFonts w:ascii="Arial" w:hAnsi="Arial"/>
          <w:b/>
          <w:color w:val="ED7D31"/>
          <w:sz w:val="20"/>
        </w:rPr>
        <w:t>MEDIUM</w:t>
      </w:r>
      <w:r>
        <w:rPr>
          <w:rFonts w:ascii="Arial" w:hAnsi="Arial"/>
          <w:color w:val="606060"/>
          <w:sz w:val="20"/>
        </w:rPr>
        <w:t xml:space="preserve">    |    </w:t>
      </w:r>
      <w:r>
        <w:rPr>
          <w:rFonts w:ascii="Arial" w:hAnsi="Arial"/>
          <w:b/>
          <w:color w:val="1F3D6B"/>
          <w:sz w:val="20"/>
        </w:rPr>
        <w:t xml:space="preserve">FINBERT VAGUENESS: </w:t>
      </w:r>
      <w:r>
        <w:rPr>
          <w:rFonts w:ascii="Arial" w:hAnsi="Arial"/>
          <w:b/>
          <w:color w:val="ED7D31"/>
          <w:sz w:val="20"/>
        </w:rPr>
        <w:t>MEDIUM</w:t>
      </w:r>
    </w:p>
    <w:p>
      <w:pPr>
        <w:spacing w:after="80"/>
      </w:pPr>
      <w:r>
        <w:rPr>
          <w:rFonts w:ascii="Arial" w:hAnsi="Arial"/>
          <w:color w:val="606060"/>
          <w:sz w:val="17"/>
        </w:rPr>
        <w:t>Generated: 09 April 2026  |  Genuine: 2  |  Borderline: 0  |  Dismissed: 4</w:t>
      </w:r>
    </w:p>
    <w:p>
      <w:pPr>
        <w:spacing w:before="80" w:after="80"/>
        <w:pBdr>
          <w:bottom w:val="single" w:sz="16" w:space="1" w:color="1F3D6B"/>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Most Recent (10-Q 2025-08-06)</w:t>
            </w:r>
          </w:p>
        </w:tc>
        <w:tc>
          <w:tcPr>
            <w:tcW w:type="dxa" w:w="7200"/>
          </w:tcPr>
          <w:p>
            <w:pPr>
              <w:spacing w:before="60" w:after="60"/>
            </w:pPr>
            <w:r>
              <w:rPr>
                <w:rFonts w:ascii="Arial" w:hAnsi="Arial"/>
                <w:sz w:val="17"/>
              </w:rPr>
              <w:t>Vagueness: 0.5590  |  Complexity: 0.1037</w:t>
            </w:r>
          </w:p>
        </w:tc>
      </w:tr>
      <w:tr>
        <w:tc>
          <w:tcPr>
            <w:tcW w:type="dxa" w:w="2880"/>
            <w:shd w:val="clear" w:color="auto" w:fill="EBF3FB"/>
          </w:tcPr>
          <w:p>
            <w:pPr>
              <w:spacing w:before="60" w:after="60"/>
            </w:pPr>
            <w:r>
              <w:rPr>
                <w:rFonts w:ascii="Arial" w:hAnsi="Arial"/>
                <w:b/>
                <w:sz w:val="17"/>
              </w:rPr>
              <w:t>Prior (10-Q 2025-05-07)</w:t>
            </w:r>
          </w:p>
        </w:tc>
        <w:tc>
          <w:tcPr>
            <w:tcW w:type="dxa" w:w="7200"/>
          </w:tcPr>
          <w:p>
            <w:pPr>
              <w:spacing w:before="60" w:after="60"/>
            </w:pPr>
            <w:r>
              <w:rPr>
                <w:rFonts w:ascii="Arial" w:hAnsi="Arial"/>
                <w:sz w:val="17"/>
              </w:rPr>
              <w:t>Vagueness: 0.5510  |  Complexity: 0.1210</w:t>
            </w:r>
          </w:p>
        </w:tc>
      </w:tr>
      <w:tr>
        <w:tc>
          <w:tcPr>
            <w:tcW w:type="dxa" w:w="2880"/>
            <w:shd w:val="clear" w:color="auto" w:fill="EBF3FB"/>
          </w:tcPr>
          <w:p>
            <w:pPr>
              <w:spacing w:before="60" w:after="60"/>
            </w:pPr>
            <w:r>
              <w:rPr>
                <w:rFonts w:ascii="Arial" w:hAnsi="Arial"/>
                <w:b/>
                <w:sz w:val="17"/>
              </w:rPr>
              <w:t>Change (latest vs prior)</w:t>
            </w:r>
          </w:p>
        </w:tc>
        <w:tc>
          <w:tcPr>
            <w:tcW w:type="dxa" w:w="7200"/>
          </w:tcPr>
          <w:p>
            <w:pPr>
              <w:spacing w:before="60" w:after="60"/>
            </w:pPr>
            <w:r>
              <w:rPr>
                <w:rFonts w:ascii="Arial" w:hAnsi="Arial"/>
                <w:sz w:val="17"/>
              </w:rPr>
              <w:t>Vagueness: +0.0080  |  Complexity: -0.0173</w:t>
            </w:r>
          </w:p>
        </w:tc>
      </w:tr>
      <w:tr>
        <w:tc>
          <w:tcPr>
            <w:tcW w:type="dxa" w:w="2880"/>
            <w:shd w:val="clear" w:color="auto" w:fill="EBF3FB"/>
          </w:tcPr>
          <w:p>
            <w:pPr>
              <w:spacing w:before="60" w:after="60"/>
            </w:pPr>
            <w:r>
              <w:rPr>
                <w:rFonts w:ascii="Arial" w:hAnsi="Arial"/>
                <w:b/>
                <w:sz w:val="17"/>
              </w:rPr>
              <w:t>Sector Average</w:t>
            </w:r>
          </w:p>
        </w:tc>
        <w:tc>
          <w:tcPr>
            <w:tcW w:type="dxa" w:w="7200"/>
          </w:tcPr>
          <w:p>
            <w:pPr>
              <w:spacing w:before="60" w:after="60"/>
            </w:pPr>
            <w:r>
              <w:rPr>
                <w:rFonts w:ascii="Arial" w:hAnsi="Arial"/>
                <w:sz w:val="17"/>
              </w:rPr>
              <w:t>Vagueness: 0.5066  |  P25: 0.4199  |  P75: 0.5957  (185 companies)</w:t>
            </w:r>
          </w:p>
        </w:tc>
      </w:tr>
      <w:tr>
        <w:tc>
          <w:tcPr>
            <w:tcW w:type="dxa" w:w="2880"/>
            <w:shd w:val="clear" w:color="auto" w:fill="EBF3FB"/>
          </w:tcPr>
          <w:p>
            <w:pPr>
              <w:spacing w:before="60" w:after="60"/>
            </w:pPr>
            <w:r>
              <w:rPr>
                <w:rFonts w:ascii="Arial" w:hAnsi="Arial"/>
                <w:b/>
                <w:sz w:val="17"/>
              </w:rPr>
              <w:t>Model Performance</w:t>
            </w:r>
          </w:p>
        </w:tc>
        <w:tc>
          <w:tcPr>
            <w:tcW w:type="dxa" w:w="7200"/>
          </w:tcPr>
          <w:p>
            <w:pPr>
              <w:spacing w:before="60" w:after="60"/>
            </w:pPr>
            <w:r>
              <w:rPr>
                <w:rFonts w:ascii="Arial" w:hAnsi="Arial"/>
                <w:sz w:val="17"/>
              </w:rPr>
              <w:t>Vagueness F1: 0.876  |  Complexity F1: 0.826</w:t>
            </w:r>
          </w:p>
        </w:tc>
      </w:tr>
    </w:tbl>
    <w:p>
      <w:pPr>
        <w:spacing w:after="80"/>
      </w:pPr>
    </w:p>
    <w:p>
      <w:pPr>
        <w:spacing w:before="280" w:after="80"/>
      </w:pPr>
      <w:r>
        <w:rPr>
          <w:rFonts w:ascii="Arial" w:hAnsi="Arial"/>
          <w:b/>
          <w:color w:val="1F3D6B"/>
          <w:sz w:val="20"/>
        </w:rPr>
        <w:t>1. EXECUTIVE SUMMARY</w:t>
      </w:r>
    </w:p>
    <w:p>
      <w:pPr>
        <w:spacing w:before="80" w:after="80"/>
        <w:pBdr>
          <w:bottom w:val="single" w:sz="8" w:space="1" w:color="2E75B6"/>
        </w:pBdr>
      </w:pPr>
    </w:p>
    <w:p>
      <w:pPr>
        <w:spacing w:after="120" w:before="40"/>
      </w:pPr>
      <w:r>
        <w:rPr>
          <w:rFonts w:ascii="Arial" w:hAnsi="Arial"/>
          <w:i w:val="0"/>
          <w:color w:val="000000"/>
          <w:sz w:val="18"/>
        </w:rPr>
        <w:t>Johnson Controls International (JCI) presents a moderate supply chain disclosure risk as a building technology and HVAC supplier. Both the Claude Analysis and FinBERT signals register MEDIUM, indicating aligned concern. JCI's vagueness score sits above the sector mean (+5.2 percentage points), and recent filings show deliberate removal of uncertainty language around tariff mitigation effectiveness during a period of escalating trade restrictions. The company also lags direct peer Lennox International in quantifying cost pressures. We recommend heightened monitoring and direct management engagement.</w:t>
      </w:r>
    </w:p>
    <w:p>
      <w:pPr>
        <w:spacing w:before="280" w:after="80"/>
      </w:pPr>
      <w:r>
        <w:rPr>
          <w:rFonts w:ascii="Arial" w:hAnsi="Arial"/>
          <w:b/>
          <w:color w:val="1F3D6B"/>
          <w:sz w:val="20"/>
        </w:rPr>
        <w:t>2. DISCLOSURE QUALITY ASSESSMENT</w:t>
      </w:r>
    </w:p>
    <w:p>
      <w:pPr>
        <w:spacing w:before="80" w:after="80"/>
        <w:pBdr>
          <w:bottom w:val="single" w:sz="8" w:space="1" w:color="2E75B6"/>
        </w:pBdr>
      </w:pPr>
    </w:p>
    <w:p>
      <w:pPr>
        <w:spacing w:after="120" w:before="40"/>
      </w:pPr>
      <w:r>
        <w:rPr>
          <w:rFonts w:ascii="Arial" w:hAnsi="Arial"/>
          <w:i w:val="0"/>
          <w:color w:val="000000"/>
          <w:sz w:val="18"/>
        </w:rPr>
        <w:t>JCI's latest FinBERT vagueness score of 0.559 places it in the upper half of the 185-company sector universe, above the mean of 0.507 and approaching the 75th percentile (0.596). After improving from 0.579 to 0.543 between fiscal year-end 2023 and the February 2025 10-Q, vagueness has reversed course, rising across the two most recent quarterly filings. The latest quarter-over-quarter increase of +0.008 is modest but directionally concerning given the simultaneous drop in complexity, suggesting simplification without added clarity.</w:t>
      </w:r>
    </w:p>
    <w:p>
      <w:pPr>
        <w:spacing w:before="280" w:after="80"/>
      </w:pPr>
      <w:r>
        <w:rPr>
          <w:rFonts w:ascii="Arial" w:hAnsi="Arial"/>
          <w:b/>
          <w:color w:val="1F3D6B"/>
          <w:sz w:val="20"/>
        </w:rPr>
        <w:t>3. KEY FINDINGS &amp; EVIDENCE</w:t>
      </w:r>
    </w:p>
    <w:p>
      <w:pPr>
        <w:spacing w:before="80" w:after="80"/>
        <w:pBdr>
          <w:bottom w:val="single" w:sz="8" w:space="1" w:color="2E75B6"/>
        </w:pBdr>
      </w:pPr>
    </w:p>
    <w:p>
      <w:pPr>
        <w:spacing w:after="120" w:before="40"/>
      </w:pPr>
      <w:r>
        <w:rPr>
          <w:rFonts w:ascii="Arial" w:hAnsi="Arial"/>
          <w:i w:val="0"/>
          <w:color w:val="000000"/>
          <w:sz w:val="18"/>
        </w:rPr>
        <w:t>The most material finding is the temporal removal of critical uncertainty caveats from JCI's supply chain risk disclosures. Prior filings acknowledged that mitigation actions had been "successful in offsetting some, but not all" of cost pressures and that effectiveness of future actions was "uncertain." The current filing retains the same boilerplate description of supply chain risks (see 10-Q filed 2025-08-06, p.38) but strips the language that candidly assessed mitigation gaps, precisely when the tariff environment has intensified. This creates a misleading impression of risk control.</w:t>
      </w:r>
    </w:p>
    <w:p>
      <w:pPr>
        <w:spacing w:after="120" w:before="40"/>
      </w:pPr>
      <w:r>
        <w:rPr>
          <w:rFonts w:ascii="Arial" w:hAnsi="Arial"/>
          <w:i w:val="0"/>
          <w:color w:val="000000"/>
          <w:sz w:val="18"/>
        </w:rPr>
        <w:t>Second, JCI's cost and margin pressure disclosure is strikingly thin relative to peer Lennox International. JCI offers only a single generic statement that tariffs "could cause our products to be more expensive" (see 10-Q filed 2025-08-06, p.48), while Lennox provides segment-level dollar quantification of tariff impacts, commodity exposure breakdowns, and basis-point pricing bridges. Given both companies face nearly identical input cost dynamics in the HVAC and building products space, JCI's omission of any quantified margin impact represents a meaningful transparency gap for downstream supply chain risk assessment.</w:t>
      </w:r>
    </w:p>
    <w:p>
      <w:pPr>
        <w:spacing w:before="280" w:after="80"/>
      </w:pPr>
      <w:r>
        <w:rPr>
          <w:rFonts w:ascii="Arial" w:hAnsi="Arial"/>
          <w:b/>
          <w:color w:val="1F3D6B"/>
          <w:sz w:val="20"/>
        </w:rPr>
        <w:t>4. PEER COMPARISON</w:t>
      </w:r>
    </w:p>
    <w:p>
      <w:pPr>
        <w:spacing w:before="80" w:after="80"/>
        <w:pBdr>
          <w:bottom w:val="single" w:sz="8" w:space="1" w:color="2E75B6"/>
        </w:pBdr>
      </w:pPr>
    </w:p>
    <w:p>
      <w:pPr>
        <w:spacing w:after="120" w:before="40"/>
      </w:pPr>
      <w:r>
        <w:rPr>
          <w:rFonts w:ascii="Arial" w:hAnsi="Arial"/>
          <w:i w:val="0"/>
          <w:color w:val="000000"/>
          <w:sz w:val="18"/>
        </w:rPr>
        <w:t>Against Lennox International—its closest HVAC/building solutions peer—JCI's disclosure is materially less granular on tariff cost quantification and margin attribution. Lennox discloses dollar-denominated tariff impacts by segment and pricing realization metrics that JCI omits entirely. Note that the peer set is limited to a single comparator, which constrains the robustness of this benchmarking exercise.</w:t>
      </w:r>
    </w:p>
    <w:p>
      <w:pPr>
        <w:spacing w:before="280" w:after="80"/>
      </w:pPr>
      <w:r>
        <w:rPr>
          <w:rFonts w:ascii="Arial" w:hAnsi="Arial"/>
          <w:b/>
          <w:color w:val="1F3D6B"/>
          <w:sz w:val="20"/>
        </w:rPr>
        <w:t>5. RECOMMENDED ANALYST ACTIONS</w:t>
      </w:r>
    </w:p>
    <w:p>
      <w:pPr>
        <w:spacing w:before="80" w:after="80"/>
        <w:pBdr>
          <w:bottom w:val="single" w:sz="8" w:space="1" w:color="2E75B6"/>
        </w:pBdr>
      </w:pPr>
    </w:p>
    <w:p>
      <w:pPr>
        <w:spacing w:after="120" w:before="40"/>
      </w:pPr>
      <w:r>
        <w:rPr>
          <w:rFonts w:ascii="Arial" w:hAnsi="Arial"/>
          <w:i w:val="0"/>
          <w:color w:val="000000"/>
          <w:sz w:val="18"/>
        </w:rPr>
        <w:t>Analysts should pursue three steps: (1) On upcoming earnings calls, directly ask JCI management to quantify tariff cost absorption versus pass-through by segment and explain why prior uncertainty language around mitigation effectiveness was removed from filings. (2) Construct an independent margin bridge for JCI's Building Solutions and Global Products segments using channel checks and distributor data to triangulate undisclosed cost pressures. (3) Monitor subsequent 10-Q filings for further erosion of forward-looking risk caveats, particularly around trade policy and supply chain disruption.</w:t>
      </w:r>
    </w:p>
    <w:p>
      <w:pPr>
        <w:spacing w:before="80" w:after="80"/>
        <w:pBdr>
          <w:bottom w:val="single" w:sz="4" w:space="1" w:color="CCCCCC"/>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FinBERT classifiers</w:t>
            </w:r>
          </w:p>
        </w:tc>
        <w:tc>
          <w:tcPr>
            <w:tcW w:type="dxa" w:w="7200"/>
          </w:tcPr>
          <w:p>
            <w:pPr>
              <w:spacing w:before="60" w:after="60"/>
            </w:pPr>
            <w:r>
              <w:rPr>
                <w:rFonts w:ascii="Arial" w:hAnsi="Arial"/>
                <w:sz w:val="17"/>
              </w:rPr>
              <w:t>Vagueness (F1 0.876) + Complexity (F1 0.826)</w:t>
            </w:r>
          </w:p>
        </w:tc>
      </w:tr>
      <w:tr>
        <w:tc>
          <w:tcPr>
            <w:tcW w:type="dxa" w:w="2880"/>
            <w:shd w:val="clear" w:color="auto" w:fill="EBF3FB"/>
          </w:tcPr>
          <w:p>
            <w:pPr>
              <w:spacing w:before="60" w:after="60"/>
            </w:pPr>
            <w:r>
              <w:rPr>
                <w:rFonts w:ascii="Arial" w:hAnsi="Arial"/>
                <w:b/>
                <w:sz w:val="17"/>
              </w:rPr>
              <w:t>Screening</w:t>
            </w:r>
          </w:p>
        </w:tc>
        <w:tc>
          <w:tcPr>
            <w:tcW w:type="dxa" w:w="7200"/>
          </w:tcPr>
          <w:p>
            <w:pPr>
              <w:spacing w:before="60" w:after="60"/>
            </w:pPr>
            <w:r>
              <w:rPr>
                <w:rFonts w:ascii="Arial" w:hAnsi="Arial"/>
                <w:sz w:val="17"/>
              </w:rPr>
              <w:t>GPT-4o-mini | Deep analysis: Claude Opus 4.6</w:t>
            </w:r>
          </w:p>
        </w:tc>
      </w:tr>
      <w:tr>
        <w:tc>
          <w:tcPr>
            <w:tcW w:type="dxa" w:w="2880"/>
            <w:shd w:val="clear" w:color="auto" w:fill="EBF3FB"/>
          </w:tcPr>
          <w:p>
            <w:pPr>
              <w:spacing w:before="60" w:after="60"/>
            </w:pPr>
            <w:r>
              <w:rPr>
                <w:rFonts w:ascii="Arial" w:hAnsi="Arial"/>
                <w:b/>
                <w:sz w:val="17"/>
              </w:rPr>
              <w:t>Data source</w:t>
            </w:r>
          </w:p>
        </w:tc>
        <w:tc>
          <w:tcPr>
            <w:tcW w:type="dxa" w:w="7200"/>
          </w:tcPr>
          <w:p>
            <w:pPr>
              <w:spacing w:before="60" w:after="60"/>
            </w:pPr>
            <w:r>
              <w:rPr>
                <w:rFonts w:ascii="Arial" w:hAnsi="Arial"/>
                <w:sz w:val="17"/>
              </w:rPr>
              <w:t>SEC EDGAR (10-K, 10-Q) | Graph: Neo4j</w:t>
            </w:r>
          </w:p>
        </w:tc>
      </w:tr>
    </w:tbl>
    <w:p>
      <w:pPr>
        <w:spacing w:after="80"/>
      </w:pPr>
    </w:p>
    <w:p>
      <w:pPr>
        <w:spacing w:before="80"/>
      </w:pPr>
      <w:r>
        <w:rPr>
          <w:rFonts w:ascii="Arial" w:hAnsi="Arial"/>
          <w:i/>
          <w:color w:val="606060"/>
          <w:sz w:val="14"/>
        </w:rPr>
        <w:t>IMPORTANT NOTICE: This is an automated screening output from the Disclosure Degradation Detection System (DDDS). It does not constitute investment advice. All findings are probabilistic signals requiring independent verification. Consistent with CFA Institute Standard V(A) — Diligence and Reasonable Basis.</w:t>
      </w:r>
    </w:p>
    <w:p>
      <w:r>
        <w:rPr>
          <w:rFonts w:ascii="Arial" w:hAnsi="Arial"/>
          <w:color w:val="606060"/>
          <w:sz w:val="14"/>
        </w:rPr>
        <w:t>Generated: 09 April 2026 15:51  |  DDDS v1.0 — The Transparency Project</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