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KAI</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0  |  Dismissed: 8</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2025-08-06)</w:t>
            </w:r>
          </w:p>
        </w:tc>
        <w:tc>
          <w:tcPr>
            <w:tcW w:type="dxa" w:w="7200"/>
          </w:tcPr>
          <w:p>
            <w:pPr>
              <w:spacing w:before="60" w:after="60"/>
            </w:pPr>
            <w:r>
              <w:rPr>
                <w:rFonts w:ascii="Arial" w:hAnsi="Arial"/>
                <w:sz w:val="17"/>
              </w:rPr>
              <w:t>Vagueness: 0.3555  |  Complexity: 0.0479</w:t>
            </w:r>
          </w:p>
        </w:tc>
      </w:tr>
      <w:tr>
        <w:tc>
          <w:tcPr>
            <w:tcW w:type="dxa" w:w="2880"/>
            <w:shd w:val="clear" w:color="auto" w:fill="EBF3FB"/>
          </w:tcPr>
          <w:p>
            <w:pPr>
              <w:spacing w:before="60" w:after="60"/>
            </w:pPr>
            <w:r>
              <w:rPr>
                <w:rFonts w:ascii="Arial" w:hAnsi="Arial"/>
                <w:b/>
                <w:sz w:val="17"/>
              </w:rPr>
              <w:t>Prior (10-Q 2025-05-07)</w:t>
            </w:r>
          </w:p>
        </w:tc>
        <w:tc>
          <w:tcPr>
            <w:tcW w:type="dxa" w:w="7200"/>
          </w:tcPr>
          <w:p>
            <w:pPr>
              <w:spacing w:before="60" w:after="60"/>
            </w:pPr>
            <w:r>
              <w:rPr>
                <w:rFonts w:ascii="Arial" w:hAnsi="Arial"/>
                <w:sz w:val="17"/>
              </w:rPr>
              <w:t>Vagueness: 0.3696  |  Complexity: 0.0776</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-0.0141  |  Complexity: -0.0297</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Kadant Inc. (KAI) presents low supply chain disclosure risk based on convergent signals: both the Claude Analysis and FinBERT statistical model register LOW concern. KAI's vagueness score sits well below the sector mean (15th percentile below average), and qualitative review found only one genuine flag among nine evaluated. The sole substantive finding — reduced non-GAAP metric definitions in a recent 10-Q — warrants monitoring but does not currently impair supply chain visibility. Recommendation: maintain standard monitoring cadence with no escalation required.</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KAI's latest 10-Q vagueness score of 0.3555 is materially below the sector mean of 0.5066, placing the company among the more transparent filers in a 185-company universe. The most recent filing showed a slight improvement in both vagueness (−0.014) and complexity (−0.030) versus the prior quarter. Annual 10-K filings show stable vagueness near 0.66, consistent with the naturally higher complexity of full-year disclosures, while quarterly filings remain well below sector norms.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only genuine flag concerns KAI's removal of non-GAAP metric definitions from its most recent 10-Q MD&amp;A. In the prior period, the company explicitly defined adjusted operating income, adjusted EBITDA, and adjusted EBITDA margin with detailed exclusion rationale (see 10-Q filed 2025-08-06, p.28). The current filing replaced this with a single sentence referencing organic revenue as a non-GAAP measure . This condensation occurred alongside a sequential decline in net income from $31.6M to $26.6M, which raises the question of whether reduced non-GAAP framing is designed to de-emphasize profitability adjustments.</w:t>
      </w:r>
    </w:p>
    <w:p>
      <w:pPr>
        <w:spacing w:after="120" w:before="40"/>
      </w:pPr>
      <w:r>
        <w:rPr>
          <w:rFonts w:ascii="Arial" w:hAnsi="Arial"/>
          <w:i w:val="0"/>
          <w:color w:val="000000"/>
          <w:sz w:val="18"/>
        </w:rPr>
        <w:t>Importantly, this finding must be contextualized: eight of nine flags were dismissed upon review, with Opus analysis noting that KAI actually provides superior disclosure relative to peers JBTM and NVT on tariff exposure, segment-level revenue, and regional specificity. The non-GAAP reduction may reflect a routine quarterly simplification rather than a systematic transparency decline, but it should be tracked over subsequent filings to confirm it does not represent an emerging pattern.</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KAI demonstrates stronger disclosure practices than its flagged peer set (JBTM and NVT), particularly in tariff impact quantification, segment granularity, and geographic revenue detail. The company's below-mean vagueness positioning in the broader sector universe corroborates this relative advantage. A known limitation is that the peer set is narrow; broader industrial machinery comparisons may yield different conclusions.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verify whether KAI's reconciliation tables for adjusted operating income and adjusted EBITDA still appear in the earnings release or supplemental materials accompanying the 10-Q, which would mitigate the definitional removal concern. Second, monitor the next two quarterly filings to determine if the non-GAAP simplification persists or reverses. Third, given KAI's disclosed tariff-related capital order delays extending into 2026, confirm in upcoming filings that order pipeline and backlog disclosures maintain their current level of specificity.</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15:51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