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KITT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2025-08-11)</w:t>
            </w:r>
          </w:p>
        </w:tc>
        <w:tc>
          <w:tcPr>
            <w:tcW w:type="dxa" w:w="7200"/>
          </w:tcPr>
          <w:p>
            <w:pPr>
              <w:spacing w:before="60" w:after="60"/>
            </w:pPr>
            <w:r>
              <w:rPr>
                <w:rFonts w:ascii="Arial" w:hAnsi="Arial"/>
                <w:sz w:val="17"/>
              </w:rPr>
              <w:t>Vagueness: 0.2146  |  Complexity: 0.2854</w:t>
            </w:r>
          </w:p>
        </w:tc>
      </w:tr>
      <w:tr>
        <w:tc>
          <w:tcPr>
            <w:tcW w:type="dxa" w:w="2880"/>
            <w:shd w:val="clear" w:color="auto" w:fill="EBF3FB"/>
          </w:tcPr>
          <w:p>
            <w:pPr>
              <w:spacing w:before="60" w:after="60"/>
            </w:pPr>
            <w:r>
              <w:rPr>
                <w:rFonts w:ascii="Arial" w:hAnsi="Arial"/>
                <w:b/>
                <w:sz w:val="17"/>
              </w:rPr>
              <w:t>Prior (10-Q 2025-05-14)</w:t>
            </w:r>
          </w:p>
        </w:tc>
        <w:tc>
          <w:tcPr>
            <w:tcW w:type="dxa" w:w="7200"/>
          </w:tcPr>
          <w:p>
            <w:pPr>
              <w:spacing w:before="60" w:after="60"/>
            </w:pPr>
            <w:r>
              <w:rPr>
                <w:rFonts w:ascii="Arial" w:hAnsi="Arial"/>
                <w:sz w:val="17"/>
              </w:rPr>
              <w:t>Vagueness: 0.2140  |  Complexity: 0.3110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+0.0006  |  Complexity: -0.0256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Nauticus Robotics (KITT) presents a divergent signal profile: Claude Analysis flags MEDIUM risk based on the systematic removal of substantive disclosures between sequential 10-Q filings, while FinBERT ranks the company's vagueness as LOW relative to the ocean technology/robotics sector (vagueness 0.2146, well below the sector mean of 0.5066). The divergence likely reflects that KITT's 10-Q filings are short and simply worded, masking the fact that specific material content has been stripped out. Supply chain counterparties should verify whether foreign sourcing exposure and contract risk monitoring processes remain in place. Recommend enhanced due diligence.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KITT's FinBERT vagueness score of 0.2146 sits 0.29 points below the sector mean, placing it well below the 25th percentile of the 185-company universe. Vagueness has been essentially flat across the three most recent 10-Q filings (0.2192 → 0.2140 → 0.2146), and complexity declined modestly in the latest period. While these metrics suggest clear, direct language, the short filing length (603 sentences) and early-stage business model mean low vagueness does not preclude material omissions—an important distinction when interpreting the FinBERT LOW signal.</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disappearance of foreign supplier and foreign currency risk factor disclosure. Prior filings explicitly stated that KITT purchases materials and equipment from foreign vendors with transactions denominated in local currencies (see 10-Q filed 2025-08-11, p.18). This risk factor was removed without explanation, eliminating investor visibility into supply chain sourcing concentration and FX exposure—a direct concern for counterparties relying on KITT's procurement stability.</w:t>
      </w:r>
    </w:p>
    <w:p>
      <w:pPr>
        <w:spacing w:after="120" w:before="40"/>
      </w:pPr>
      <w:r>
        <w:rPr>
          <w:rFonts w:ascii="Arial" w:hAnsi="Arial"/>
          <w:i w:val="0"/>
          <w:color w:val="000000"/>
          <w:sz w:val="18"/>
        </w:rPr>
        <w:t>Equally concerning, KITT removed detailed disclosure of its quarterly contract risk monitoring process alongside product-specific information about the Olympic Arm subsea manipulator (see 10-Q filed 2025-05-14, p.11). The prior filing described how the company identifies technical, schedule, and cost risks at contract outset and monitors them quarterly; the current filing reduces this to a single generic business description . Separately, the Registration Rights Agreement disclosure was materially diluted, replacing specific timelines and holder remedies with references to 'certain amendments and certain covenants' (see 10-Q filed 2025-08-11, p.17), raising questions about whether registration obligations may have been breached.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KITT's FinBERT vagueness is among the lowest in its 185-company sector universe, but this partly reflects the brevity and early-stage nature of its filings rather than superior transparency. A peer comparison flagging the absence of warranty disclosures relative to exoskeleton manufacturer Ekso Bionics is directionally interesting but limited by significant business model differences. Peer benchmarking for pre-revenue ocean robotics firms remains a known limitation of the current sector classification.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directly verify with KITT management whether foreign-sourced materials procurement continues and whether FX hedging is in place, given the unexplained removal of the foreign supplier risk factor. Second, request copies of the Amendment and Exchange Agreement referenced in the latest 10-Q to determine what obligations are obscured by 'certain covenants' language. Third, assess whether the quarterly contract risk monitoring process is still operational by reviewing earnings call transcripts and board committee disclosures for any references to long-term contract execution risk.</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