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LCUT</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0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0.2591  |  Complexity: 0.1443</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0.2886  |  Complexity: 0.1565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-0.0295  |  Complexity: -0.0122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Lifetime Brands Inc. (LCUT) presents a divergent disclosure signal warranting focused supply chain due diligence. Claude Analysis flags MEDIUM risk based on the removal of specific China sourcing and tariff mitigation language between the May and August 2025 10-Q filings, concurrent with a $33.2 million goodwill impairment. FinBERT ranks vagueness as LOW relative to the housewares/consumer sector, reflecting generally clean quantitative language. The divergence likely stems from targeted narrative deletions that FinBERT's aggregate scoring does not fully capture. Recommend heightened monitoring and direct management engagement on sourcing geography.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LCUT's latest 10-Q vagueness score of 0.259 sits well below the sector mean of 0.507, placing it in the bottom quartile of the 185-company universe — a favorable reading. The trend is modestly improving, with vagueness declining 3.0 points quarter-over-quarter and complexity easing slightly. However, this aggregate statistical profile can mask localized disclosure removals on specific risk topics, which is precisely the pattern the qualitative analysis identified.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LCUT's elimination of explicit China sourcing concentration language. The prior 10-Q stated the company sources "almost all of its products from suppliers located outside the United States, primarily in China" and warned of "increased supply chain challenges" from April 2 tariffs (see 10-Q filed 2025-08-07, p.41). The current filing replaces this with generic inventory seasonality language and omits any geographic sourcing detail (see 10-Q filed 2025-08-07, p.9). This deletion is especially concerning given that U.S. tariffs on Chinese goods remain in effect and have escalated.</w:t>
      </w:r>
    </w:p>
    <w:p>
      <w:pPr>
        <w:spacing w:after="120" w:before="40"/>
      </w:pPr>
      <w:r>
        <w:rPr>
          <w:rFonts w:ascii="Arial" w:hAnsi="Arial"/>
          <w:i w:val="0"/>
          <w:color w:val="000000"/>
          <w:sz w:val="18"/>
        </w:rPr>
        <w:t>Compounding the concern, LCUT simultaneously removed specific tariff mitigation strategies — pricing adjustments, product configuration changes, and inventory management actions — while disclosing that its U.S. reporting unit forecasts were "revised downward due to changes in retailer and consumer buying patterns" impacted by tariff policies (see 10-Q filed 2025-08-07, p.11). The juxtaposition of worsening fundamentals (including a $33.2 million goodwill impairment) with reduced risk transparency suggests the company may be obscuring failed mitigation efforts rather than reflecting resolved risks.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Notably, three peer-divergence flags were dismissed as false positives — LCUT actually provides more granular disclosure than peers on cost structures, financial sustainability, and liquidity. The LOW FinBERT ranking confirms LCUT's overall language clarity remains above average sectorwide. The concern is narrowly concentrated in the targeted removal of geopolitical and supply chain risk narratives, not broad opacity.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with portfolio exposure to LCUT as an upstream supplier should take three steps: first, directly request from LCUT management an updated geographic sourcing breakdown, specifically China as a percentage of COGS, to determine whether the disclosure removal reflects genuine supply chain diversification or obfuscation. Second, compare the Q3 2025 10-Q risk factors against the March 2025 10-K to assess whether annual filing language was also diluted. Third, stress-test procurement cost assumptions under sustained 145% China tariff scenarios given the removed mitigation detail.</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