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LECO</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2  |  Borderline: 0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2025-07-31)</w:t>
            </w:r>
          </w:p>
        </w:tc>
        <w:tc>
          <w:tcPr>
            <w:tcW w:type="dxa" w:w="7200"/>
          </w:tcPr>
          <w:p>
            <w:pPr>
              <w:spacing w:before="60" w:after="60"/>
            </w:pPr>
            <w:r>
              <w:rPr>
                <w:rFonts w:ascii="Arial" w:hAnsi="Arial"/>
                <w:sz w:val="17"/>
              </w:rPr>
              <w:t>Vagueness: 0.3147  |  Complexity: 0.0823</w:t>
            </w:r>
          </w:p>
        </w:tc>
      </w:tr>
      <w:tr>
        <w:tc>
          <w:tcPr>
            <w:tcW w:type="dxa" w:w="2880"/>
            <w:shd w:val="clear" w:color="auto" w:fill="EBF3FB"/>
          </w:tcPr>
          <w:p>
            <w:pPr>
              <w:spacing w:before="60" w:after="60"/>
            </w:pPr>
            <w:r>
              <w:rPr>
                <w:rFonts w:ascii="Arial" w:hAnsi="Arial"/>
                <w:b/>
                <w:sz w:val="17"/>
              </w:rPr>
              <w:t>Prior (10-Q 2025-04-30)</w:t>
            </w:r>
          </w:p>
        </w:tc>
        <w:tc>
          <w:tcPr>
            <w:tcW w:type="dxa" w:w="7200"/>
          </w:tcPr>
          <w:p>
            <w:pPr>
              <w:spacing w:before="60" w:after="60"/>
            </w:pPr>
            <w:r>
              <w:rPr>
                <w:rFonts w:ascii="Arial" w:hAnsi="Arial"/>
                <w:sz w:val="17"/>
              </w:rPr>
              <w:t>Vagueness: 0.3286  |  Complexity: 0.0956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-0.0139  |  Complexity: -0.0133</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Lincoln Electric Holdings (LECO) presents a divergent signal profile: Claude Analysis flags MEDIUM risk due to the removal of two material geopolitical and liquidity risk factors during escalating tariff uncertainty, while FinBERT ranks the company LOW relative to sector peers on statistical vagueness measures. The divergence likely reflects that LECO's overall filing language remains precise even as specific risk factor topics were dropped. Recommend targeted review of Q2 2025 10-Q risk factor completeness before next portfolio rebalancing.</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LECO's latest 10-Q vagueness score of 0.3147 sits nearly 0.19 points below the sector mean of 0.5066 and well below the 25th percentile of 0.4199, placing it among the most transparent filers in a 185-company universe. The trend is marginally improving, with vagueness declining 0.014 points sequentially. Annual 10-K filings carry higher vagueness (~0.72), consistent with boilerplate-heavy annual formats, but quarterly filings remain exceptionally clean by sector standards.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Between LECO's Q1 and Q2 2025 10-Q filings, the company removed a detailed geopolitical risk factor that specifically referenced 2025 U.S. tariff actions, Russia-Ukraine conflict, and retaliatory trade measures (see 10-Q filed 2025-04-30, p.23). This removal is notable given that tariff policy uncertainty has intensified, not abated, during the intervening period. The company had disclosed active mitigation efforts, but eliminating the risk factor entirely rather than updating it raises questions about editorial intent versus substantive de-risking.</w:t>
      </w:r>
    </w:p>
    <w:p>
      <w:pPr>
        <w:spacing w:after="120" w:before="40"/>
      </w:pPr>
      <w:r>
        <w:rPr>
          <w:rFonts w:ascii="Arial" w:hAnsi="Arial"/>
          <w:i w:val="0"/>
          <w:color w:val="000000"/>
          <w:sz w:val="18"/>
        </w:rPr>
        <w:t>A closely linked risk factor addressing the connection between demand disruption and liquidity or capital market access was also removed (see 10-Q filed 2025-04-30, p.23). This language explicitly warned that adverse demand shifts could impair cash flow generation and accounts receivable collection. The simultaneous disappearance of both interconnected risk factors suggests a deliberate editorial decision. However, LECO's operational disclosures—including rationalization charges, capital allocation detail, and legal proceedings—remain granular and specific, indicating this is likely an isolated gap rather than a systematic transparency decline.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LECO's statistical disclosure quality ranks in the top quartile of its 185-company sector peer set, with vagueness scores consistently below the 25th percentile threshold. This strong quantitative positioning explains the FinBERT LOW signal and suggests that the company's filing language remains more precise than most peers, even with the risk factor removals identified qualitatively. Note that peer selection is based on broad sector classification, which may not perfectly capture LECO's welding and cutting equipment niche.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review LECO's most recent 10-K (filed February 2025) to determine whether the dropped tariff and liquidity risk factors were consolidated into annual risk disclosures or genuinely eliminated from all filings. During the next earnings call or management access opportunity, directly ask LECO's CFO whether tariff mitigation actions have materially reduced exposure or whether the risk factor removal was an editorial simplification. Cross-reference LECO's accounts receivable days, credit facility covenant headroom, and geographic revenue mix for any signs that the dropped risks are manifesting operationally.</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15:52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