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LII</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3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2025-07-23)</w:t>
            </w:r>
          </w:p>
        </w:tc>
        <w:tc>
          <w:tcPr>
            <w:tcW w:type="dxa" w:w="7200"/>
          </w:tcPr>
          <w:p>
            <w:pPr>
              <w:spacing w:before="60" w:after="60"/>
            </w:pPr>
            <w:r>
              <w:rPr>
                <w:rFonts w:ascii="Arial" w:hAnsi="Arial"/>
                <w:sz w:val="17"/>
              </w:rPr>
              <w:t>Vagueness: 0.3100  |  Complexity: 0.0674</w:t>
            </w:r>
          </w:p>
        </w:tc>
      </w:tr>
      <w:tr>
        <w:tc>
          <w:tcPr>
            <w:tcW w:type="dxa" w:w="2880"/>
            <w:shd w:val="clear" w:color="auto" w:fill="EBF3FB"/>
          </w:tcPr>
          <w:p>
            <w:pPr>
              <w:spacing w:before="60" w:after="60"/>
            </w:pPr>
            <w:r>
              <w:rPr>
                <w:rFonts w:ascii="Arial" w:hAnsi="Arial"/>
                <w:b/>
                <w:sz w:val="17"/>
              </w:rPr>
              <w:t>Prior (10-Q 2025-04-23)</w:t>
            </w:r>
          </w:p>
        </w:tc>
        <w:tc>
          <w:tcPr>
            <w:tcW w:type="dxa" w:w="7200"/>
          </w:tcPr>
          <w:p>
            <w:pPr>
              <w:spacing w:before="60" w:after="60"/>
            </w:pPr>
            <w:r>
              <w:rPr>
                <w:rFonts w:ascii="Arial" w:hAnsi="Arial"/>
                <w:sz w:val="17"/>
              </w:rPr>
              <w:t>Vagueness: 0.3422  |  Complexity: 0.0710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-0.0322  |  Complexity: -0.0036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Lennox International (LII) presents minimal supply chain disclosure risk. Both the Claude Analysis signal (LOW) and FinBERT statistical signal (LOW) converge, indicating that LII's filing transparency is strong in absolute terms and well above sector average. The company provides robust quantitative detail on margins, cost pressures, and segment performance. Three borderline gaps — capital allocation sustainability context, consolidated tariff risk framing, and human capital specificity — represent incremental areas for monitoring rather than actionable concerns. Recommended action is routine periodic review with no escalation warranted.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LII's FinBERT vagueness score of 0.310 on its latest 10-Q is nearly 0.20 points below the sector mean of 0.507, placing it firmly in the most transparent quartile of the 185-company universe. The latest filing shows a modest improvement in vagueness (-0.03) and complexity (-0.004) versus the prior quarter. Annual 10-K filings score higher on vagueness (~0.74) as expected given boilerplate risk factors, but quarterly filings consistently demonstrate above-average clarity.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LII's most notable borderline finding involves the sustainability of capital returns. The company distributed $377 million to shareholders over six months through repurchases and dividends while carrying a 57% debt-to-capital ratio, yet the filing provides limited forward-looking context on how this pace is supported, particularly with a $300 million note maturing in August 2025 (see 10-Q filed 2025-07-23, p.19). This is a structural question rather than a disclosure deficiency, but peer AAON offers more explicit capex guidance and Board-level capital allocation framing.</w:t>
      </w:r>
    </w:p>
    <w:p>
      <w:pPr>
        <w:spacing w:after="120" w:before="40"/>
      </w:pPr>
      <w:r>
        <w:rPr>
          <w:rFonts w:ascii="Arial" w:hAnsi="Arial"/>
          <w:i w:val="0"/>
          <w:color w:val="000000"/>
          <w:sz w:val="18"/>
        </w:rPr>
        <w:t>A secondary gap concerns geopolitical and tariff risk consolidation. LII quantifies tariff impacts within its gross profit analysis but lacks a dedicated macro-risk section despite significant Mexico manufacturing exposure (see 10-Q filed 2025-07-23, p.18). AAON, by contrast, discloses a specific 6.0% tariff surcharge and provides comprehensive trade policy discussion. Additionally, generic references to "higher employee-related costs" in SG&amp;A commentary fall short of AAON's detailed human capital disclosures covering retention programs and labor market challenges. These gaps are modest and may be addressed in LII's 10-K or proxy filings.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LII's disclosure quality compares favorably to sector peers, sitting well below the 25th percentile for vagueness. The peer comparison in this screening relied partly on AIRJ, a pre-revenue SPAC that is not a meaningful benchmark for a mature $2.5 billion industrial manufacturer; this is a known limitation of the current peer selection methodology. Comparisons against AAON, a closer HVAC peer, are more informative and reveal only incremental gaps.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LII's most recent 10-K risk factors and proxy statement to confirm whether tariff exposure quantification and human capital disclosures are addressed outside the quarterly MD&amp;A. Second, monitor the August 2025 note maturity outcome and subsequent capital allocation commentary on earnings calls for any shift in return policy sustainability. No supply chain transparency escalation is needed at this time; LII should remain on standard semi-annual review cadence.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