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LINK</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3  |  Borderline: 2  |  Dismissed: 8</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2025-08-13)</w:t>
            </w:r>
          </w:p>
        </w:tc>
        <w:tc>
          <w:tcPr>
            <w:tcW w:type="dxa" w:w="7200"/>
          </w:tcPr>
          <w:p>
            <w:pPr>
              <w:spacing w:before="60" w:after="60"/>
            </w:pPr>
            <w:r>
              <w:rPr>
                <w:rFonts w:ascii="Arial" w:hAnsi="Arial"/>
                <w:sz w:val="17"/>
              </w:rPr>
              <w:t>Vagueness: 0.4918  |  Complexity: 0.0681</w:t>
            </w:r>
          </w:p>
        </w:tc>
      </w:tr>
      <w:tr>
        <w:tc>
          <w:tcPr>
            <w:tcW w:type="dxa" w:w="2880"/>
            <w:shd w:val="clear" w:color="auto" w:fill="EBF3FB"/>
          </w:tcPr>
          <w:p>
            <w:pPr>
              <w:spacing w:before="60" w:after="60"/>
            </w:pPr>
            <w:r>
              <w:rPr>
                <w:rFonts w:ascii="Arial" w:hAnsi="Arial"/>
                <w:b/>
                <w:sz w:val="17"/>
              </w:rPr>
              <w:t>Prior (10-Q 2025-05-13)</w:t>
            </w:r>
          </w:p>
        </w:tc>
        <w:tc>
          <w:tcPr>
            <w:tcW w:type="dxa" w:w="7200"/>
          </w:tcPr>
          <w:p>
            <w:pPr>
              <w:spacing w:before="60" w:after="60"/>
            </w:pPr>
            <w:r>
              <w:rPr>
                <w:rFonts w:ascii="Arial" w:hAnsi="Arial"/>
                <w:sz w:val="17"/>
              </w:rPr>
              <w:t>Vagueness: 0.5145  |  Complexity: 0.0589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-0.0227  |  Complexity: +0.0092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Interlink Electronics (LINK) presents a medium-level supply chain disclosure risk, with both the Claude qualitative analysis and FinBERT statistical model converging on a MEDIUM signal. The company has systematically stripped product technology descriptions, strategic R&amp;D narrative, and income composition detail from recent filings while remaining silent on tariff and geopolitical risks despite deriving over 50% of revenue internationally. For portfolio managers with LINK exposure in their supply chain, we recommend heightened monitoring and direct management engagement on product line status and trade risk mitigation.</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LINK's FinBERT vagueness score of 0.4918 on its latest 10-Q sits marginally below the sector mean of 0.5066, placing it near the middle of the 185-company universe. The slight improvement in vagueness (-0.023 quarter-over-quarter) is modest and does not offset the qualitative degradation identified in MD&amp;A narrative content. Annual 10-K filings consistently score elevated (~0.63), well above the sector 75th percentile of 0.5957, suggesting structural opacity in the company's longer-form disclosures.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concern is the wholesale removal of product and technology descriptions from MD&amp;A. Previously, LINK detailed force-sensing technologies, HMI platforms, specific applications in vehicle entry and collision detection, and the SPEC/KWJ gas-sensing acquisition. The current filing condenses this to a single generic sentence (see 10-Q filed 2025-08-13, p.22). This erasure, combined with a 28.8% decline in R&amp;D spending and elimination of the strategic narrative about the Camarillo Global Product Development Center , raises the possibility of product line discontinuation or strategic retrenchment that management is not explicitly acknowledging.</w:t>
      </w:r>
    </w:p>
    <w:p>
      <w:pPr>
        <w:spacing w:after="120" w:before="40"/>
      </w:pPr>
      <w:r>
        <w:rPr>
          <w:rFonts w:ascii="Arial" w:hAnsi="Arial"/>
          <w:i w:val="0"/>
          <w:color w:val="000000"/>
          <w:sz w:val="18"/>
        </w:rPr>
        <w:t>Equally concerning is the complete absence of tariff or geopolitical risk discussion despite $3.2 million in international revenue (Asia, Middle East, and Europe) during H1 2025. The only internationally-relevant disclosure addresses tax treatment rather than operational trade exposure (see 10-Q filed 2025-08-13, p.23). Peer company TACT, with comparable international operations, provides specific tariff rate disclosures and customer price-through strategies. LINK's silence here constitutes a material gap given the current trade policy environment.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LINK's disclosure quality lags identifiable peers on trade risk and operational specificity. TACT provides granular tariff impact quantification that LINK omits entirely. However, peer selection limitations exist in this analysis—LINK operates in a niche sensor technology space where close public comparables are scarce, which may overweight dissimilarities in certain peer-based flags.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request a management call specifically probing the status of each previously disclosed product platform, particularly the SPEC/KWJ gas-sensing business, and the rationale for removing these descriptions. Second, map LINK's manufacturing and supplier footprint to countries subject to active tariff actions, cross-referencing customs data and supplier registries to independently assess unacknowledged trade exposure. Third, monitor gross margin trajectory quarterly for signs of absorbed cost pressures, given the stable 45% margin despite a shifting international revenue mix and undisclosed tariff environment.</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