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LIQT</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1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2025-08-13)</w:t>
            </w:r>
          </w:p>
        </w:tc>
        <w:tc>
          <w:tcPr>
            <w:tcW w:type="dxa" w:w="7200"/>
          </w:tcPr>
          <w:p>
            <w:pPr>
              <w:spacing w:before="60" w:after="60"/>
            </w:pPr>
            <w:r>
              <w:rPr>
                <w:rFonts w:ascii="Arial" w:hAnsi="Arial"/>
                <w:sz w:val="17"/>
              </w:rPr>
              <w:t>Vagueness: 0.4280  |  Complexity: 0.0745</w:t>
            </w:r>
          </w:p>
        </w:tc>
      </w:tr>
      <w:tr>
        <w:tc>
          <w:tcPr>
            <w:tcW w:type="dxa" w:w="2880"/>
            <w:shd w:val="clear" w:color="auto" w:fill="EBF3FB"/>
          </w:tcPr>
          <w:p>
            <w:pPr>
              <w:spacing w:before="60" w:after="60"/>
            </w:pPr>
            <w:r>
              <w:rPr>
                <w:rFonts w:ascii="Arial" w:hAnsi="Arial"/>
                <w:b/>
                <w:sz w:val="17"/>
              </w:rPr>
              <w:t>Prior (10-Q 2025-05-14)</w:t>
            </w:r>
          </w:p>
        </w:tc>
        <w:tc>
          <w:tcPr>
            <w:tcW w:type="dxa" w:w="7200"/>
          </w:tcPr>
          <w:p>
            <w:pPr>
              <w:spacing w:before="60" w:after="60"/>
            </w:pPr>
            <w:r>
              <w:rPr>
                <w:rFonts w:ascii="Arial" w:hAnsi="Arial"/>
                <w:sz w:val="17"/>
              </w:rPr>
              <w:t>Vagueness: 0.4647  |  Complexity: 0.1011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-0.0367  |  Complexity: -0.0266</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LiqTech International (LIQT) presents a MEDIUM supply chain transparency risk based on converging Claude Analysis (MEDIUM) and FinBERT (MEDIUM) signals. The company has materially reduced disclosure specificity around liquidity adequacy, geographic operations, and FX/tariff exposures — critical considerations for any downstream partner reliant on LIQT's Denmark- and China-based filtration operations. The removal of a previously provided 12-month cash sufficiency statement is particularly concerning. We recommend enhanced monitoring and direct management engagement before increasing supply chain dependency.</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LIQT's latest 10-Q vagueness score of 0.4280 sits slightly below the sector mean of 0.5066, placing it near the 25th percentile — superficially favorable. However, annual 10-K filings score extremely high (0.8733 in FY2025), well above the 75th percentile. The quarterly-to-quarterly trend shows modest improvement (vagueness declined 0.037 points), but this masks the structural pattern: LIQT's 10-Ks are among the most vague in the sector while its 10-Qs appear leaner by design given fewer sentences.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disappearance of the 12-month cash sufficiency statement. In the prior quarter, LIQT explicitly affirmed that cash on hand would cover capital requirements and committed investments for the next twelve months. The current filing replaces this with generic forward-looking language referencing "global recession, structural shift in regulation, or the escalating interest rates and tariffs" without any quantified liquidity horizon . The removal of specific geographic operational detail — previously identifying Copenhagen, Hobro, and Shanghai facilities — raises questions about whether China operations have been curtailed and what this means for sourcing and production capacity .</w:t>
      </w:r>
    </w:p>
    <w:p>
      <w:pPr>
        <w:spacing w:after="120" w:before="40"/>
      </w:pPr>
      <w:r>
        <w:rPr>
          <w:rFonts w:ascii="Arial" w:hAnsi="Arial"/>
          <w:i w:val="0"/>
          <w:color w:val="000000"/>
          <w:sz w:val="18"/>
        </w:rPr>
        <w:t>Second, LIQT's FX and tariff disclosure has degraded relative to both its own prior filings and close peers. Enerpac Tool Group (peer distance 0.078) quantifies currency impacts to the dollar and percentage level, while LIQT notes only a vague "lower gain on currency transactions" despite operating across DKK and CNY exposure . The sole supply chain sentence — that products ship directly from Denmark — provides no visibility into raw material sourcing, input cost pressures, or tariff exposure on components potentially sourced from China (see 10-Q filed 2025-08-13, p.25).</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a 185-company sector universe, LIQT's disclosure quality is middling on a blended basis but bifurcated by filing type. The close-peer comparison with Enerpac (EPAC, distance 0.078) is instructive and well-matched, revealing LIQT's FX quantification gap as a genuine shortfall rather than a sector norm. The Moog (MOG-A) comparison is less probative given the higher peer distance (0.487) and differing end markets.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with LIQT supply chain exposure should take three steps. First, independently verify LIQT's liquidity position by calculating cash runway from balance sheet data, since the company no longer provides forward-looking sufficiency guidance. Second, engage management directly to clarify the status of Shanghai operations and whether the removal of China references signals a structural change in production footprint. Third, estimate FX and tariff sensitivity using Denmark export data and DKK/USD trends to fill the quantification gap LIQT has left in its disclosures.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