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LOGI</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5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0.3582  |  Complexity: 0.0892</w:t>
            </w:r>
          </w:p>
        </w:tc>
      </w:tr>
      <w:tr>
        <w:tc>
          <w:tcPr>
            <w:tcW w:type="dxa" w:w="2880"/>
            <w:shd w:val="clear" w:color="auto" w:fill="EBF3FB"/>
          </w:tcPr>
          <w:p>
            <w:pPr>
              <w:spacing w:before="60" w:after="60"/>
            </w:pPr>
            <w:r>
              <w:rPr>
                <w:rFonts w:ascii="Arial" w:hAnsi="Arial"/>
                <w:b/>
                <w:sz w:val="17"/>
              </w:rPr>
              <w:t>Prior (10-K 2025-05-23)</w:t>
            </w:r>
          </w:p>
        </w:tc>
        <w:tc>
          <w:tcPr>
            <w:tcW w:type="dxa" w:w="7200"/>
          </w:tcPr>
          <w:p>
            <w:pPr>
              <w:spacing w:before="60" w:after="60"/>
            </w:pPr>
            <w:r>
              <w:rPr>
                <w:rFonts w:ascii="Arial" w:hAnsi="Arial"/>
                <w:sz w:val="17"/>
              </w:rPr>
              <w:t>Vagueness: 0.5466  |  Complexity: 0.0205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-0.1884  |  Complexity: +0.0687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Logitech International S.A. (LOGI) presents a divergent disclosure risk signal for supply chain counterparties. The Claude Analysis flags HIGH risk based on systematic removal of five material risk factors from the most recent 10-Q, including trade/tariff, debt covenant, and cybersecurity disclosures. The FinBERT statistical model ranks LOGI as LOW risk, with vagueness well below sector mean. This divergence likely reflects the mechanical effect of deleting substantive risk language—removing complex passages can lower measured vagueness while degrading actual transparency. Recommend elevated monitoring and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LOGI's latest 10-Q vagueness score of 0.358 sits 15 percentage points below the sector mean of 0.507, placing it comfortably in the bottom quartile of the 185-company universe. The filing-over-filing trend shows a sharp decline in vagueness from the 10-K (0.547) to the 10-Q (0.358), consistent with seasonal formatting differences. However, the low vagueness score may be an artifact of wholesale risk factor deletion: removing hedged, conditional language mechanically reduces measured vagueness without improving disclosure quality.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removal of LOGI's detailed trade and tariff risk factor at precisely the time U.S.-China tariffs have escalated. The prior filing explicitly addressed tariff impacts on product pricing, import restrictions, and adverse tax consequences for a company that manufactures principally in affected countries (see 10-K filed 2025-05-23, p.24). In its place, an unrelated OECD Pillar Two tax discussion was substituted (see 10-Q filed 2025-07-30, p.32), representing a topic swap rather than an update—a pattern inconsistent with routine editorial revision.</w:t>
      </w:r>
    </w:p>
    <w:p>
      <w:pPr>
        <w:spacing w:after="120" w:before="40"/>
      </w:pPr>
      <w:r>
        <w:rPr>
          <w:rFonts w:ascii="Arial" w:hAnsi="Arial"/>
          <w:i w:val="0"/>
          <w:color w:val="000000"/>
          <w:sz w:val="18"/>
        </w:rPr>
        <w:t>Equally concerning is the disappearance of the $750 million revolving credit facility risk factor, including covenant compliance and refinancing risk language . The prior filing disclosed that covenant breaches could trigger acceleration of all outstanding indebtedness . Absent evidence the facility was terminated, this removal creates a compounded gap where investors lose visibility into both leverage risk and downside liquidity scenarios. A separate cybersecurity and data privacy risk factor was also deleted, notable given LOGI's expanding software and video conferencing ecosystem.</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Compared to peer Corsair Gaming, LOGI provides a specific $368.7 million purchase commitment figure but lacks the qualitative supply chain mitigation narrative—such as manufacturing diversification and tariff-driven inventory strategies—that Corsair discloses. The peer set is limited to consumer peripherals and may not fully capture LOGI's enterprise video conferencing exposure, a known limitation of sector-level comparisons.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the full current 10-Q to determine whether trade/tariff and debt covenant risk language was relocated to MD&amp;A or consolidated under different headings rather than eliminated. Second, during the next earnings engagement, press management on tariff exposure quantification, supply chain repositioning timelines, and the rationale for removing the credit facility risk factor while the $750 million facility presumably remains outstanding. Third, cross-reference LOGI's gross margin trajectory and inventory build patterns against the deleted risk language to assess whether operational behavior contradicts the reduced disclosure posture.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