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LRCX</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0  |  Borderline: 3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2025-08-11)</w:t>
            </w:r>
          </w:p>
        </w:tc>
        <w:tc>
          <w:tcPr>
            <w:tcW w:type="dxa" w:w="7200"/>
          </w:tcPr>
          <w:p>
            <w:pPr>
              <w:spacing w:before="60" w:after="60"/>
            </w:pPr>
            <w:r>
              <w:rPr>
                <w:rFonts w:ascii="Arial" w:hAnsi="Arial"/>
                <w:sz w:val="17"/>
              </w:rPr>
              <w:t>Vagueness: 0.5999  |  Complexity: 0.0329</w:t>
            </w:r>
          </w:p>
        </w:tc>
      </w:tr>
      <w:tr>
        <w:tc>
          <w:tcPr>
            <w:tcW w:type="dxa" w:w="2880"/>
            <w:shd w:val="clear" w:color="auto" w:fill="EBF3FB"/>
          </w:tcPr>
          <w:p>
            <w:pPr>
              <w:spacing w:before="60" w:after="60"/>
            </w:pPr>
            <w:r>
              <w:rPr>
                <w:rFonts w:ascii="Arial" w:hAnsi="Arial"/>
                <w:b/>
                <w:sz w:val="17"/>
              </w:rPr>
              <w:t>Prior (10-Q 2025-04-25)</w:t>
            </w:r>
          </w:p>
        </w:tc>
        <w:tc>
          <w:tcPr>
            <w:tcW w:type="dxa" w:w="7200"/>
          </w:tcPr>
          <w:p>
            <w:pPr>
              <w:spacing w:before="60" w:after="60"/>
            </w:pPr>
            <w:r>
              <w:rPr>
                <w:rFonts w:ascii="Arial" w:hAnsi="Arial"/>
                <w:sz w:val="17"/>
              </w:rPr>
              <w:t>Vagueness: 0.3999  |  Complexity: 0.1149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+0.2000  |  Complexity: -0.0820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Lam Research Corporation (LRCX) presents a divergent signal profile for supply chain monitoring purposes. The Claude Analysis finds LOW disclosure degradation risk, characterizing most year-over-year changes as immaterial or contextually justified. However, the FinBERT statistical model ranks LRCX as HIGH vagueness relative to the semiconductor equipment sector, with its latest 10-K scoring 0.5999 — above the 75th percentile of the 185-company universe. The +0.20 vagueness spike from the prior quarter filing warrants attention. We recommend enhanced monitoring with targeted engagement on specific disclosure gaps identified below.</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LRCX's latest 10-K vagueness score of 0.5999 exceeds the sector mean of 0.5066 by roughly one standard deviation and sits just above the 75th percentile (0.5957). The quarterly trend reveals a sawtooth pattern: vagueness drops materially in 10-Q filings (0.38–0.40 range) before reverting to elevated levels in annual filings. The +0.20 increase from the January 2025 10-Q to the August 2025 10-K is mechanically consistent with the prior annual cycle but places LRCX among the sector's more opaque filers on an absolute basis.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disclosure change is the elimination of LRCX's dedicated Inclusion &amp; Diversity section and its executive I&amp;D leadership role, with language softened from "inclusive and diverse workplace" to "inclusive workplace" (see 10-K filed 2025-08-11, p.17). While this tracks a broader corporate trend, the removal reduces visibility into workforce governance practices relevant to operational continuity in a tight labor market for semiconductor engineers. Separately, LRCX removed specific foreign currency hedging details previously naming JPY, EUR, KRW, MYR, and INR exposures, and dropped its prior IRA tax impact assessment (see 10-K filed 2025-08-11, p.15). These omissions modestly reduce transparency on risk management for a company with substantial non-US revenue.</w:t>
      </w:r>
    </w:p>
    <w:p>
      <w:pPr>
        <w:spacing w:after="120" w:before="40"/>
      </w:pPr>
      <w:r>
        <w:rPr>
          <w:rFonts w:ascii="Arial" w:hAnsi="Arial"/>
          <w:i w:val="0"/>
          <w:color w:val="000000"/>
          <w:sz w:val="18"/>
        </w:rPr>
        <w:t>The peer comparison flag, while limited by the ACMR benchmark mismatch, surfaces a valid observation: LRCX's supply chain disclosure relies on generic purchase-order language (see 10-K filed 2025-08-11, p.52) without the granular treatment of export control constraints, single-source dependencies, or geopolitical sourcing risks that its China revenue exposure (historically ~25-30% of sales) would warrant. This gap is more significant given tightening BIS restrictions on advanced semiconductor equipment exports.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LRCX's FinBERT vagueness score places it above the sector 75th percentile, suggesting relatively opaque language compared to most semiconductor equipment peers. The peer comparison with ACMR — a much smaller, China-headquartered company — is a known limitation of the current universe construction, as business model and regulatory context differences reduce comparability. Benchmarking against AMAT, KLAC, or TOELY would yield more actionable peer divergence insights.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during LRCX's next earnings call or investor day, directly engage management on why specific FX hedging currency disclosures and the IRA tax impact assessment were removed, and whether this reflects changed risk profiles or editorial simplification. Second, review LRCX's most recent sustainability report and proxy statement to determine whether I&amp;D metrics and leadership structures persist outside the 10-K. Third, cross-reference LRCX's supply chain risk disclosures against recent BIS rule changes to assess whether the current filing adequately addresses known export control exposure.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