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LTRX</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0  |  Borderline: 1  |  Dismissed: 12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2025-08-29)</w:t>
            </w:r>
          </w:p>
        </w:tc>
        <w:tc>
          <w:tcPr>
            <w:tcW w:type="dxa" w:w="7200"/>
          </w:tcPr>
          <w:p>
            <w:pPr>
              <w:spacing w:before="60" w:after="60"/>
            </w:pPr>
            <w:r>
              <w:rPr>
                <w:rFonts w:ascii="Arial" w:hAnsi="Arial"/>
                <w:sz w:val="17"/>
              </w:rPr>
              <w:t>Vagueness: 0.5349  |  Complexity: 0.0548</w:t>
            </w:r>
          </w:p>
        </w:tc>
      </w:tr>
      <w:tr>
        <w:tc>
          <w:tcPr>
            <w:tcW w:type="dxa" w:w="2880"/>
            <w:shd w:val="clear" w:color="auto" w:fill="EBF3FB"/>
          </w:tcPr>
          <w:p>
            <w:pPr>
              <w:spacing w:before="60" w:after="60"/>
            </w:pPr>
            <w:r>
              <w:rPr>
                <w:rFonts w:ascii="Arial" w:hAnsi="Arial"/>
                <w:b/>
                <w:sz w:val="17"/>
              </w:rPr>
              <w:t>Prior (10-Q 2025-05-09)</w:t>
            </w:r>
          </w:p>
        </w:tc>
        <w:tc>
          <w:tcPr>
            <w:tcW w:type="dxa" w:w="7200"/>
          </w:tcPr>
          <w:p>
            <w:pPr>
              <w:spacing w:before="60" w:after="60"/>
            </w:pPr>
            <w:r>
              <w:rPr>
                <w:rFonts w:ascii="Arial" w:hAnsi="Arial"/>
                <w:sz w:val="17"/>
              </w:rPr>
              <w:t>Vagueness: 0.6208  |  Complexity: 0.1092</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-0.0859  |  Complexity: -0.0544</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Lantronix, Inc. (LTRX) presents minimal supply chain disclosure risk based on our review. The Claude Analysis signal is LOW, identifying only one borderline finding across thirteen examined topics, while the FinBERT statistical signal is MEDIUM, placing LTRX marginally above the sector mean in vagueness. This divergence likely reflects the FinBERT model capturing elevated vagueness in quarterly filings that normalized in the latest 10-K. No immediate escalation is warranted; maintain routine monitoring cadence.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LTRX's latest 10-K vagueness score of 0.5349 sits at the 53rd percentile of its 185-company sector universe, only 2.8 basis points above the mean of 0.5066 and within the interquartile range (P25: 0.42, P75: 0.60). Notably, vagueness spiked in the February and May 10-Qs (0.62) before reverting in the annual filing. The latest period-over-period change shows improvement, with vagueness declining 8.6 points and complexity declining 5.4 points, suggesting no structural deterioration trend.</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borderline finding involves LTRX replacing a detailed enumeration of 14-plus state privacy laws with the phrase "Multiple states in the U.S. have enacted such privacy laws" . While this reduces granularity, the company simultaneously added substantive AI-related risk language and expanded ESG disclosures, partially offsetting the concern. The prior filing's specificity on states like Delaware, Florida, Indiana, and others provided useful compliance mapping for supply chain partners monitoring data-handling obligations .</w:t>
      </w:r>
    </w:p>
    <w:p>
      <w:pPr>
        <w:spacing w:after="120" w:before="40"/>
      </w:pPr>
      <w:r>
        <w:rPr>
          <w:rFonts w:ascii="Arial" w:hAnsi="Arial"/>
          <w:i w:val="0"/>
          <w:color w:val="000000"/>
          <w:sz w:val="18"/>
        </w:rPr>
        <w:t>Beyond this, LTRX's disclosure quality is notably strong. The Opus review dismissed twelve of thirteen flags, finding that the company generally provides superior transparency relative to peers—including detailed cybersecurity governance, candid material weakness history, and comprehensive supply chain risk discussion. The thin 9% goodwill impairment cushion and full deferred tax asset valuation allowance are financial risk items worth tracking but do not represent disclosure degradation.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LTRX's disclosure quality compares favorably to its assigned peers (INTZ and CIIT), with the Opus review noting that most divergence flags actually highlighted LTRX as the superior discloser. However, these peers are poorly matched by market cap and business profile, which is a known limitation of the current peer selection methodology that may understate relative risk against more comparable IoT infrastructure companies.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verify whether the removed state-by-state privacy law enumeration appears elsewhere in LTRX's proxy or governance documents, as migration rather than deletion would resolve the borderline flag. Monitor the February 2026 10-Q filing for any renewed vagueness spike consistent with the pattern observed in FY2025 quarterly filings. Finally, track goodwill impairment test assumptions in the next annual filing given the slim 9% cushion, as any deterioration could prompt broader disclosure changes.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