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MAS</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1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2025-07-31)</w:t>
            </w:r>
          </w:p>
        </w:tc>
        <w:tc>
          <w:tcPr>
            <w:tcW w:type="dxa" w:w="7200"/>
          </w:tcPr>
          <w:p>
            <w:pPr>
              <w:spacing w:before="60" w:after="60"/>
            </w:pPr>
            <w:r>
              <w:rPr>
                <w:rFonts w:ascii="Arial" w:hAnsi="Arial"/>
                <w:sz w:val="17"/>
              </w:rPr>
              <w:t>Vagueness: 0.4063  |  Complexity: 0.2625</w:t>
            </w:r>
          </w:p>
        </w:tc>
      </w:tr>
      <w:tr>
        <w:tc>
          <w:tcPr>
            <w:tcW w:type="dxa" w:w="2880"/>
            <w:shd w:val="clear" w:color="auto" w:fill="EBF3FB"/>
          </w:tcPr>
          <w:p>
            <w:pPr>
              <w:spacing w:before="60" w:after="60"/>
            </w:pPr>
            <w:r>
              <w:rPr>
                <w:rFonts w:ascii="Arial" w:hAnsi="Arial"/>
                <w:b/>
                <w:sz w:val="17"/>
              </w:rPr>
              <w:t>Prior (10-Q 2025-04-23)</w:t>
            </w:r>
          </w:p>
        </w:tc>
        <w:tc>
          <w:tcPr>
            <w:tcW w:type="dxa" w:w="7200"/>
          </w:tcPr>
          <w:p>
            <w:pPr>
              <w:spacing w:before="60" w:after="60"/>
            </w:pPr>
            <w:r>
              <w:rPr>
                <w:rFonts w:ascii="Arial" w:hAnsi="Arial"/>
                <w:sz w:val="17"/>
              </w:rPr>
              <w:t>Vagueness: 0.5038  |  Complexity: 0.2255</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-0.0975  |  Complexity: +0.0370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Masco Corporation (MAS) presents low supply chain disclosure risk based on converging signals: both the Claude Analysis and FinBERT assessments register LOW. The company's latest quarterly vagueness score (0.41) sits well below the sector mean (0.51), placing it in the more transparent quartile of its 185-company peer universe. The sole material finding—removal of a quantitative warranty rollforward table—warrants monitoring but does not constitute a systemic transparency deterioration. Recommended action is routine surveillance with targeted follow-up on warranty disclosure.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MAS's FinBERT vagueness score of 0.41 in its most recent 10-Q is approximately 10 percentage points below the sector mean of 0.51, positioning the company near the 25th percentile (lower vagueness = better). The latest quarter-over-quarter trend shows a 9.8-basis-point improvement in vagueness alongside a modest 3.7-point increase in complexity—consistent with filings that are becoming marginally more specific. Annual 10-K scores remain stable year-over-year (0.692 vs. 0.695), indicating no structural degradation.</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the warranty liability rollforward table from MAS's Q2 2025 10-Q filing. The prior period included granular dollar-amount detail—beginning balance, accruals, settlements, and ending balance—while the current filing retains only a single boilerplate sentence referencing product safety regulations (see 10-Q filed 2025-07-31, p.10). The prior period's table disclosed an $81M beginning balance with $9M in accruals and $10M in settlements (see 10-Q filed 2025-07-31, p.10), data points useful for assessing product quality trends. Whether this table migrated to a different note or was genuinely eliminated remains unconfirmed.</w:t>
      </w:r>
    </w:p>
    <w:p>
      <w:pPr>
        <w:spacing w:after="120" w:before="40"/>
      </w:pPr>
      <w:r>
        <w:rPr>
          <w:rFonts w:ascii="Arial" w:hAnsi="Arial"/>
          <w:i w:val="0"/>
          <w:color w:val="000000"/>
          <w:sz w:val="18"/>
        </w:rPr>
        <w:t>A secondary borderline flag relates to MAS's litigation disclosure, which characterizes pending matters using the lowest ASC 450 threshold—"remote"—without quantifying specific exposures or reserves . While this language is common among building-products peers, it contrasts with at least one comparator that disclosed a specific settlement amount. This likely reflects differing litigation profiles rather than deliberate obfuscation, but the characterization merits periodic validation against publicly available class action or product recall databases.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Within the 185-company sector universe, MAS's disclosure quality ranks favorably, sitting below the 25th-percentile vagueness threshold. Opus analysis noted that in most peer comparisons, MAS was actually the superior discloser. The peer set includes general building-products companies, which is directionally appropriate, though comparators may not perfectly match MAS's plumbing and decorative-architectural product mix.</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verify whether the warranty rollforward table appears elsewhere in MAS's Q2 2025 condensed financial statement notes or was omitted entirely; if absent, raise the question directly with MAS Investor Relations during the next earnings cycle. Second, cross-reference the "remote" litigation characterization against CPSC recall databases and active class action trackers for Behr, Delta, and other MAS brands. Third, establish a quarterly check on whether warranty disclosures continue to thin, as progressive removal could signal emerging product quality issues upstream in supply chains dependent on MAS components.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