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MIDD</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1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2025-08-07)</w:t>
            </w:r>
          </w:p>
        </w:tc>
        <w:tc>
          <w:tcPr>
            <w:tcW w:type="dxa" w:w="7200"/>
          </w:tcPr>
          <w:p>
            <w:pPr>
              <w:spacing w:before="60" w:after="60"/>
            </w:pPr>
            <w:r>
              <w:rPr>
                <w:rFonts w:ascii="Arial" w:hAnsi="Arial"/>
                <w:sz w:val="17"/>
              </w:rPr>
              <w:t>Vagueness: 0.1758  |  Complexity: 0.0196</w:t>
            </w:r>
          </w:p>
        </w:tc>
      </w:tr>
      <w:tr>
        <w:tc>
          <w:tcPr>
            <w:tcW w:type="dxa" w:w="2880"/>
            <w:shd w:val="clear" w:color="auto" w:fill="EBF3FB"/>
          </w:tcPr>
          <w:p>
            <w:pPr>
              <w:spacing w:before="60" w:after="60"/>
            </w:pPr>
            <w:r>
              <w:rPr>
                <w:rFonts w:ascii="Arial" w:hAnsi="Arial"/>
                <w:b/>
                <w:sz w:val="17"/>
              </w:rPr>
              <w:t>Prior (10-Q 2025-05-08)</w:t>
            </w:r>
          </w:p>
        </w:tc>
        <w:tc>
          <w:tcPr>
            <w:tcW w:type="dxa" w:w="7200"/>
          </w:tcPr>
          <w:p>
            <w:pPr>
              <w:spacing w:before="60" w:after="60"/>
            </w:pPr>
            <w:r>
              <w:rPr>
                <w:rFonts w:ascii="Arial" w:hAnsi="Arial"/>
                <w:sz w:val="17"/>
              </w:rPr>
              <w:t>Vagueness: 0.2672  |  Complexity: 0.0264</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-0.0914  |  Complexity: -0.0068</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The Middleby Corporation (MIDD) presents low supply chain disclosure risk. Both the Claude Analysis signal and FinBERT statistical signal register LOW, indicating convergent confidence that MIDD maintains adequate transparency. The company's latest vagueness score of 0.1758 sits well below the sector mean of 0.5066, placing it among the most clearly written filers in its peer universe. Only one genuine disclosure gap was identified—the disappearance of restructuring cost detail. Recommended action: routine monitoring with targeted verification of restructuring program status.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MIDD's FinBERT vagueness score of 0.1758 in its most recent 10-Q is 0.33 standard deviations below the sector mean of 0.5066, positioning it firmly in the bottom quartile for vagueness—a favorable outcome. The latest filing also shows improving trends, with vagueness declining 0.09 points and complexity falling 0.007 points versus the prior quarter. Annual filings remain near the sector median (~0.49), but quarterly disclosures are notably crisp and specific.</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finding concerns the complete disappearance of restructuring expense detail from the current 10-Q MD&amp;A. The prior quarter's filing disclosed segment-specific headcount reductions and a $33.7 million production equipment upgrade program spanning the Residential Kitchen Equipment Group and Commercial Foodservice Group (see 10-Q filed 2025-05-08, p.22). The current filing contains no restructuring discussion in the MD&amp;A, removing visibility into whether these facility consolidations and capex commitments are ongoing or concluded. This gap is material for supply chain counterparties relying on MIDD's manufacturing footprint stability.</w:t>
      </w:r>
    </w:p>
    <w:p>
      <w:pPr>
        <w:spacing w:after="120" w:before="40"/>
      </w:pPr>
      <w:r>
        <w:rPr>
          <w:rFonts w:ascii="Arial" w:hAnsi="Arial"/>
          <w:i w:val="0"/>
          <w:color w:val="000000"/>
          <w:sz w:val="18"/>
        </w:rPr>
        <w:t>A secondary borderline flag involves the absence of litigation disclosure in the MD&amp;A excerpts reviewed. The tax provision discussion (see 10-Q filed 2025-08-07, p.27) provides useful quantitative detail—including an effective tax rate reduction of approximately 300 basis points driven by an 'internal restructuring'—but no legal proceedings language appeared in the sections analyzed. This likely reflects the filing's structure rather than an omission, as litigation is typically disclosed in the notes or Part II, Item 1, but analysts should confirm this independently.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MIDD's disclosure quality compares favorably to its sector peers, scoring well below the 25th percentile for vagueness. The Opus review found that most peer-comparison flags were actually dismissed because MIDD demonstrated superior transparency on tariff, FX, and supply chain topics relative to comparators. Peer selection included non-obvious names such as Hayward Holdings, which may limit direct comparability; this is a known limitation of the current peer matching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review MIDD's full 10-Q notes to financial statements and segment disclosures to determine whether restructuring charges persisted in the current period or the $33.7 million upgrade program has concluded. Second, verify that legal proceedings disclosures appear in Part II, Item 1 of the latest 10-Q, confirming the MD&amp;A gap is structural rather than substantive. Third, monitor the next 10-K filing for any reclassification of restructuring costs into normalized operating expense categories, which would warrant a reassessment of this LOW-risk designation.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15:55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