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MITK</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0.2470  |  Complexity: 0.1531</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0.2440  |  Complexity: 0.1712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+0.0030  |  Complexity: -0.0181</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Mitek Systems (MITK) presents minimal supply chain disclosure risk at this time. Both the Claude Analysis signal (LOW) and FinBERT statistical signal (LOW) converge, indicating no systemic transparency deterioration. The company's vagueness score sits well below the sector mean (25th percentile). The sole genuine concern is the removal of a specific transaction volume metric from product descriptions, which warrants monitoring but does not suggest deliberate obfuscation. Recommended action: maintain standard monitoring cadence with targeted follow-up on product-level KPI disclosure.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MITK's latest quarterly vagueness score of 0.247 ranks substantially below the sector mean of 0.507, placing it near the bottom quartile of the 185-company universe — a favorable position indicating relatively precise, non-evasive language. Quarterly filings show stable-to-improving vagueness since February 2025, with only a negligible +0.003 uptick in the most recent period. Annual filings carry higher vagueness (0.59–0.67), consistent with the broader, more qualitative nature of 10-K narratives.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 concrete operational KPI — approximately 1.2 billion annual Mobile Check Deposit transactions — replaced by generic language describing "verification and fraud detection technology" providing "seamless verification" (see 10-Q filed 2025-08-07, p.11). The prior filing anchored investor understanding of scale with that specific figure (see 10-Q filed 2025-08-07, p.10). Its disappearance could reflect a genuine volume decline, a strategic pivot away from legacy check deposit toward identity verification, or routine editorial consolidation. Absent corroborating evidence of broader obfuscation, this remains an isolated data point rather than a pattern.</w:t>
      </w:r>
    </w:p>
    <w:p>
      <w:pPr>
        <w:spacing w:after="120" w:before="40"/>
      </w:pPr>
      <w:r>
        <w:rPr>
          <w:rFonts w:ascii="Arial" w:hAnsi="Arial"/>
          <w:i w:val="0"/>
          <w:color w:val="000000"/>
          <w:sz w:val="18"/>
        </w:rPr>
        <w:t>Separately, channel partner concentration risk language present in earlier filings was not observed in the current quarter (see 10-Q filed 2025-08-07, p.30). This disclosure may have been relocated to the annual 10-K Risk Factors section, a common practice for quarterly filings that streamline boilerplate. MD&amp;A product descriptions remain thin relative to MITK's business complexity, but thin is not synonymous with evasive, and the FinBERT scores confirm the language used is statistically precise.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MITK's disclosure quality compares favorably to the Technology sector universe, scoring 0.26 standard deviations below mean vagueness. Several flagged peer divergences stem from comparison with Evolv Technologies (EVLV), a company under acute financial and regulatory stress whose extensive risk disclosures reflect idiosyncratic distress rather than a superior transparency benchmark. This peer selection limitation reduces the diagnostic value of those comparisons.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targeted steps: first, review MITK's most recent 10-K Risk Factors to confirm whether channel partner concentration and product-specific risk language was relocated rather than eliminated; second, query management on Mobile Check Deposit transaction volumes during the next earnings call to determine whether the metric's removal coincides with volume declines or a deliberate product de-emphasis; third, monitor upcoming filings for any further erosion of quantitative KPIs in MD&amp;A, which would elevate this from an isolated edit to a concerning trend.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15:56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