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MOG-A</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2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2025-07-25)</w:t>
            </w:r>
          </w:p>
        </w:tc>
        <w:tc>
          <w:tcPr>
            <w:tcW w:type="dxa" w:w="7200"/>
          </w:tcPr>
          <w:p>
            <w:pPr>
              <w:spacing w:before="60" w:after="60"/>
            </w:pPr>
            <w:r>
              <w:rPr>
                <w:rFonts w:ascii="Arial" w:hAnsi="Arial"/>
                <w:sz w:val="17"/>
              </w:rPr>
              <w:t>Vagueness: 0.4209  |  Complexity: 0.0689</w:t>
            </w:r>
          </w:p>
        </w:tc>
      </w:tr>
      <w:tr>
        <w:tc>
          <w:tcPr>
            <w:tcW w:type="dxa" w:w="2880"/>
            <w:shd w:val="clear" w:color="auto" w:fill="EBF3FB"/>
          </w:tcPr>
          <w:p>
            <w:pPr>
              <w:spacing w:before="60" w:after="60"/>
            </w:pPr>
            <w:r>
              <w:rPr>
                <w:rFonts w:ascii="Arial" w:hAnsi="Arial"/>
                <w:b/>
                <w:sz w:val="17"/>
              </w:rPr>
              <w:t>Prior (10-Q 2025-04-25)</w:t>
            </w:r>
          </w:p>
        </w:tc>
        <w:tc>
          <w:tcPr>
            <w:tcW w:type="dxa" w:w="7200"/>
          </w:tcPr>
          <w:p>
            <w:pPr>
              <w:spacing w:before="60" w:after="60"/>
            </w:pPr>
            <w:r>
              <w:rPr>
                <w:rFonts w:ascii="Arial" w:hAnsi="Arial"/>
                <w:sz w:val="17"/>
              </w:rPr>
              <w:t>Vagueness: 0.4240  |  Complexity: 0.0528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-0.0031  |  Complexity: +0.0161</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Moog Inc. (MOG-A) presents a MEDIUM supply chain disclosure risk under both the Claude Analysis and FinBERT statistical signals, a convergent reading that strengthens confidence in the assessment. Between the April and July 2025 10-Q filings, MOG-A removed quantified tariff, FX, and program-specific revenue commentary from its Risk Factors section at a time when these headwinds remain active. FinBERT scores place the company near sector median but show rising complexity. We recommend enhanced monitoring and targeted engagement with management on the disclosure reductions.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MOG-A's latest vagueness score of 0.4209 sits just above the sector 25th percentile (0.4199) and well below the sector mean of 0.5066, indicating relatively clear language overall. Vagueness has declined steadily across filings, from 0.6209 to 0.4209, which is favorable in isolation. However, complexity has risen materially from 0.0116 to 0.0689, suggesting simpler language may mask structurally more convoluted disclosure. The improving vagueness trend partially offsets concerns from the qualitative flag analysis.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a detailed geopolitical and tariff narrative that included a quantified $5 million foreign-currency sales headwind and specific commentary on U.S. tariff escalation between January and April 2025 (see 10-Q filed 2025-04-25, p.32). This disclosure disappeared from the July 2025 10-Q despite tariff uncertainty intensifying, not abating. Equally concerning is the elimination of program-specific revenue and demand commentary referencing F-35 Lightning II, Textron Bell FLRAA, aftermarket flight-hour trends, and Boeing/Airbus backlog positioning (see 10-Q filed 2025-07-25, p.34). This language provided critical forward visibility into MOG-A's defense and commercial OEM revenue trajectory.</w:t>
      </w:r>
    </w:p>
    <w:p>
      <w:pPr>
        <w:spacing w:after="120" w:before="40"/>
      </w:pPr>
      <w:r>
        <w:rPr>
          <w:rFonts w:ascii="Arial" w:hAnsi="Arial"/>
          <w:i w:val="0"/>
          <w:color w:val="000000"/>
          <w:sz w:val="18"/>
        </w:rPr>
        <w:t>A secondary finding involves the removal of explicit tariff cost-absorption language noting that tariffs "may negatively impact demand and result in an increase in some product costs" (see 10-Q filed 2025-04-25, p.33). Some supply chain risk language referencing Boeing and Airbus challenges appears to have migrated to MD&amp;A rather than being fully eliminated (see 10-Q filed 2025-04-25, p.33), partially mitigating that specific flag. Nonetheless, the net effect is a meaningfully thinner Risk Factors section in the most recent quarterly filing.</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Within the 185-company sector universe, MOG-A's vagueness sits at the 25th percentile — better than most peers. However, the qualitative thinning of specific risk disclosures runs counter to this statistical clarity. The peer comparison for accounting and supply chain language was largely a false positive, as MOG-A's disclosures in those areas remain more detailed than peers. Peer selection may not fully reflect MOG-A's unique defense-aerospace niche, a known limitation of the current universe definition.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the July 2025 10-Q MD&amp;A in full to confirm whether tariff quantification and program-specific demand language relocated rather than disappeared. On the next earnings call, directly ask management why the $5 million FX headwind quantification and F-35/FLRAA commentary were removed, and whether any program-specific headwinds motivated the change. Finally, compare the forthcoming fiscal year 2025 10-K Risk Factors against the 2024 annual filing to determine if the quarterly thinning was a deliberate shift in disclosure philosophy.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