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MTW</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0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2025-08-08)</w:t>
            </w:r>
          </w:p>
        </w:tc>
        <w:tc>
          <w:tcPr>
            <w:tcW w:type="dxa" w:w="7200"/>
          </w:tcPr>
          <w:p>
            <w:pPr>
              <w:spacing w:before="60" w:after="60"/>
            </w:pPr>
            <w:r>
              <w:rPr>
                <w:rFonts w:ascii="Arial" w:hAnsi="Arial"/>
                <w:sz w:val="17"/>
              </w:rPr>
              <w:t>Vagueness: 0.2137  |  Complexity: 0.0721</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0.2345  |  Complexity: 0.0964</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-0.0208  |  Complexity: -0.0243</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The Manitowoc Company (MTW) presents a divergent disclosure risk signal: Claude Analysis flags a MEDIUM concern centered on the removal of an explicit covenant compliance affirmation coinciding with a near-doubling of revolver borrowings, while FinBERT ranks the company's vagueness as LOW relative to its industrial sector. The divergence likely reflects a localized but material omission embedded within otherwise clear prose. Downstream buyers relying on MTW's crane and lifting equipment should monitor counterparty credit risk. Recommended action: heightened surveillance with direct covenant verification.</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MTW's latest 10-Q vagueness score of 0.2137 sits well below the sector mean of 0.5066, placing the company approximately 29 percentage points below average—firmly in the most transparent quartile of the 185-company industrial universe. Sequential vagueness declined modestly (-0.02), and the annual 10-K scores (~0.65) are only slightly above the sector's 75th percentile. FinBERT trend data show no systemic deterioration in linguistic clarity, suggesting any disclosure concern is narrow rather than pervasive.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validated finding is the disappearance of a prior-quarter explicit covenant compliance affirmation. In Q1 2025, MTW affirmed compliance with all ABL and 2031 Notes covenants; the Q2 filing contains no equivalent statement despite ABL revolver borrowings surging from $83.3 million to $156.9 million—consuming roughly 48% of the $325 million facility. Total debt rose $71.5 million to $470.5 million. The current filing's interest expense discussion omits any mention of the compliance posture disclosed in the prior period (see 10-Q filed 2025-05-07, p.32), a pattern often associated with emerging covenant stress or reclassification risk.</w:t>
      </w:r>
    </w:p>
    <w:p>
      <w:pPr>
        <w:spacing w:after="120" w:before="40"/>
      </w:pPr>
      <w:r>
        <w:rPr>
          <w:rFonts w:ascii="Arial" w:hAnsi="Arial"/>
          <w:i w:val="0"/>
          <w:color w:val="000000"/>
          <w:sz w:val="18"/>
        </w:rPr>
        <w:t>The signal divergence is instructive: FinBERT captures overall filing readability and finds MTW cleaner than most peers, but it cannot detect a targeted omission of a single compliance sentence. Claude's contextual analysis correctly isolates this specific, financially material removal. The concern is not that MTW's filings became broadly evasive—they did not—but that one critical assurance was quietly dropped at the moment leverage meaningfully expanded.</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Within the 185-company sector universe, MTW's vagueness ranks in the bottom quartile (most transparent), and its sequential trend is flat to improving. The FinBERT LOW signal reflects genuinely above-average disclosure clarity. A known limitation is that the peer set spans the full industrial sector rather than a narrower crane/capital equipment cohort, which may dilute comparability.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review MTW's complete Q2 2025 10-Q for any relocated covenant compliance language or newly added risk-factor qualifications regarding the ABL facility's borrowing base or fixed charge coverage ratio. Second, contact MTW investor relations directly to confirm current covenant compliance status and headroom, particularly given the $156.9 million revolver draw. Third, monitor the Q3 2025 filing for restoration or continued absence of the compliance affirmation, treating continued omission as a potential credit deterioration signal for supply chain counterparty assessments.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15:56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