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NATL</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2  |  Borderline: 1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2025-08-07)</w:t>
            </w:r>
          </w:p>
        </w:tc>
        <w:tc>
          <w:tcPr>
            <w:tcW w:type="dxa" w:w="7200"/>
          </w:tcPr>
          <w:p>
            <w:pPr>
              <w:spacing w:before="60" w:after="60"/>
            </w:pPr>
            <w:r>
              <w:rPr>
                <w:rFonts w:ascii="Arial" w:hAnsi="Arial"/>
                <w:sz w:val="17"/>
              </w:rPr>
              <w:t>Vagueness: 0.3596  |  Complexity: 0.1752</w:t>
            </w:r>
          </w:p>
        </w:tc>
      </w:tr>
      <w:tr>
        <w:tc>
          <w:tcPr>
            <w:tcW w:type="dxa" w:w="2880"/>
            <w:shd w:val="clear" w:color="auto" w:fill="EBF3FB"/>
          </w:tcPr>
          <w:p>
            <w:pPr>
              <w:spacing w:before="60" w:after="60"/>
            </w:pPr>
            <w:r>
              <w:rPr>
                <w:rFonts w:ascii="Arial" w:hAnsi="Arial"/>
                <w:b/>
                <w:sz w:val="17"/>
              </w:rPr>
              <w:t>Prior (10-Q 2025-05-08)</w:t>
            </w:r>
          </w:p>
        </w:tc>
        <w:tc>
          <w:tcPr>
            <w:tcW w:type="dxa" w:w="7200"/>
          </w:tcPr>
          <w:p>
            <w:pPr>
              <w:spacing w:before="60" w:after="60"/>
            </w:pPr>
            <w:r>
              <w:rPr>
                <w:rFonts w:ascii="Arial" w:hAnsi="Arial"/>
                <w:sz w:val="17"/>
              </w:rPr>
              <w:t>Vagueness: 0.3859  |  Complexity: 0.1646</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-0.0263  |  Complexity: +0.0106</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NCR Atleos (NATL) presents a divergent signal profile: Claude Analysis flags MEDIUM risk driven by removal of quantitative FX impact data and market risk sensitivity disclosures, while FinBERT ranks the company's vagueness LOW relative to the financial technology sector (15 percentage points below sector mean). The divergence likely reflects FinBERT capturing overall filing quality, which remains adequate, versus targeted removals of specific quantitative detail that Claude identified. Recommend targeted engagement on FX and risk disclosure gaps during next earnings cycle.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NATL's FinBERT vagueness score of 0.36 in the latest 10-Q sits well below the sector mean of 0.51 and beneath the 25th percentile (0.42), indicating above-average disclosure clarity in aggregate. The latest filing showed a modest improvement in vagueness (-0.03 sequential). Complexity ticked up slightly (+0.01) but remains unremarkable at 0.18. The statistical profile does not suggest broad disclosure deterioration, though it may not capture localized removals of specific quantitative disclosures.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complete removal of segment-level foreign currency impact quantification. Prior filings disclosed that FX fluctuations had an unfavorable 2% impact across multiple revenue lines; the current Q2 2025 filing replaces this with qualitative language about macroeconomic pressures without percentage-level specificity . Simultaneously, NATL softened its tariff risk posture from actively analyzing impacts to asserting they were "not material" without supporting dollar quantification — a claim that merits scrutiny given the evolving trade policy environment.</w:t>
      </w:r>
    </w:p>
    <w:p>
      <w:pPr>
        <w:spacing w:after="120" w:before="40"/>
      </w:pPr>
      <w:r>
        <w:rPr>
          <w:rFonts w:ascii="Arial" w:hAnsi="Arial"/>
          <w:i w:val="0"/>
          <w:color w:val="000000"/>
          <w:sz w:val="18"/>
        </w:rPr>
        <w:t>The second area of concern involves the elimination of the sensitivity analysis framework and hedging effectiveness disclosures, replaced by the vague assertion that "reserves for potential losses are adequate" (see 10-Q filed 2025-08-07, p.48). This removal coincides with a 250% increase in international pension contributions (from $2M to $7M) that went unexplained. Additionally, NATL changed its Adjusted EBITDA methodology to exclude other income/expense while simultaneously reducing transparency around the full non-GAAP definition (see 10-Q filed 2025-08-07, p.40), complicating period-over-period comparability.</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Against 185 sector peers, NATL's aggregate vagueness ranks favorably — approximately 15 percentage points below the sector mean. However, this peer universe spans the broad financial technology and services sector, and more narrowly defined ATM/self-service banking peers may exhibit different disclosure norms. The statistical ranking should be interpreted with this compositional limitation in mind.</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pursue three due diligence steps: first, during the next earnings call, directly request FX impact percentages by segment and dollar-level quantification of tariff-related cost absorption or pass-through for Q2 and Q3 2025. Second, verify whether the sensitivity analysis and hedging effectiveness disclosures were relocated elsewhere in the 10-Q or eliminated entirely, and request the quantitative basis for the "reserves are adequate" assertion. Third, model the impact of the Adjusted EBITDA methodology change on trailing comparability to assess whether the revision flatters reported performance.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15:57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