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NDSN</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0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2025-08-21)</w:t>
            </w:r>
          </w:p>
        </w:tc>
        <w:tc>
          <w:tcPr>
            <w:tcW w:type="dxa" w:w="7200"/>
          </w:tcPr>
          <w:p>
            <w:pPr>
              <w:spacing w:before="60" w:after="60"/>
            </w:pPr>
            <w:r>
              <w:rPr>
                <w:rFonts w:ascii="Arial" w:hAnsi="Arial"/>
                <w:sz w:val="17"/>
              </w:rPr>
              <w:t>Vagueness: 0.3180  |  Complexity: 0.0568</w:t>
            </w:r>
          </w:p>
        </w:tc>
      </w:tr>
      <w:tr>
        <w:tc>
          <w:tcPr>
            <w:tcW w:type="dxa" w:w="2880"/>
            <w:shd w:val="clear" w:color="auto" w:fill="EBF3FB"/>
          </w:tcPr>
          <w:p>
            <w:pPr>
              <w:spacing w:before="60" w:after="60"/>
            </w:pPr>
            <w:r>
              <w:rPr>
                <w:rFonts w:ascii="Arial" w:hAnsi="Arial"/>
                <w:b/>
                <w:sz w:val="17"/>
              </w:rPr>
              <w:t>Prior (10-Q 2025-05-29)</w:t>
            </w:r>
          </w:p>
        </w:tc>
        <w:tc>
          <w:tcPr>
            <w:tcW w:type="dxa" w:w="7200"/>
          </w:tcPr>
          <w:p>
            <w:pPr>
              <w:spacing w:before="60" w:after="60"/>
            </w:pPr>
            <w:r>
              <w:rPr>
                <w:rFonts w:ascii="Arial" w:hAnsi="Arial"/>
                <w:sz w:val="17"/>
              </w:rPr>
              <w:t>Vagueness: 0.3359  |  Complexity: 0.0566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-0.0179  |  Complexity: +0.0002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Nordson Corporation (NDSN) presents a divergent disclosure risk signal for supply chain counterparties. Claude Analysis flags MEDIUM risk, identifying a material gap in cost and margin pressure disclosure despite significant operating margin declines across two segments. FinBERT ranks NDSN LOW relative to the industrial sector, with vagueness scores well below the sector mean. The divergence likely reflects NDSN's generally clean quantitative language masking selective omissions on cost drivers. Recommend targeted due diligence on margin erosion drivers and tariff exposure quantification.</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NDSN's latest 10-Q vagueness score of 0.318 sits roughly 19 percentage points below the sector mean of 0.507, placing the company firmly in the bottom quartile of vagueness across 185 industrial peers. The vagueness trend is declining across quarterly filings (from 0.379 to 0.318), and complexity remains low. By statistical measures, NDSN's language is clearer than most peers, which explains the LOW FinBERT signal and underscores that the Claude-flagged concerns are surgical rather than systemic.</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a disconnect between NDSN's reported margin deterioration and its disclosure of underlying cost drivers. The MFS segment experienced a 510 basis point operating margin decline and IPS saw a 120 basis point decline, yet attributions remain generic—limited to "lower sales volumes" and "lower organic sales demand" (see 10-Q filed 2025-08-21, p.24). No quantification of tariff impacts, input cost inflation, or supply chain disruption costs is provided, despite management acknowledging in the filing's Other Trends section that sales and purchases could be negatively impacted by recent tariff actions.</w:t>
      </w:r>
    </w:p>
    <w:p>
      <w:pPr>
        <w:spacing w:after="120" w:before="40"/>
      </w:pPr>
      <w:r>
        <w:rPr>
          <w:rFonts w:ascii="Arial" w:hAnsi="Arial"/>
          <w:i w:val="0"/>
          <w:color w:val="000000"/>
          <w:sz w:val="18"/>
        </w:rPr>
        <w:t>This stands in contrast to industrial peers such as ESAB, which explicitly quantifies tariff-related material cost increases and discusses inventory positioning strategies . The gap is notable because NDSN's margins are declining materially while the company simultaneously claims no material tariff impact—a position that warrants verification given the magnitude of the declines and the breadth of its global procurement footprint.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the 185-company industrial sector universe, NDSN's statistical disclosure quality is above average—cleaner language and lower vagueness than 75% of peers. However, the qualitative peer comparison with ESAB reveals a topical gap: NDSN provides less granularity on trade policy cost impacts than peers with comparable global supply chains. Note that the peer set is algorithmically selected, which may limit precision in matching business model complexity.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NDSN supply chain exposure should take three steps. First, during the next earnings call or supplier review, directly request a bridge analysis of the 510bp MFS margin decline decomposed into volume, price/mix, and input cost components. Second, cross-reference NDSN's disclosed tariff exposure with customs data or peer filings to independently estimate potential cost pass-through. Third, monitor whether future filings add cost driver specificity—continued omission through the next 10-K would elevate the disclosure concern materially.</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15:57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