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NNBR</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3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0.3070  |  Complexity: 0.1295</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0.3593  |  Complexity: 0.1260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-0.0523  |  Complexity: +0.0035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NN Inc. (NNBR), a precision components supplier to automotive and industrial OEMs, presents a divergent disclosure risk signal. Claude Analysis flags MEDIUM risk based on temporal removal of supply chain commentary and IRS refund claim detail, while FinBERT ranks vagueness LOW relative to the industrial sector (approximately 20th percentile). The divergence likely reflects NNBR's concise filing style scoring well on statistical vagueness metrics while masking substantive topic disappearances that only contextual analysis detects. We recommend enhanced monitoring with targeted due diligence on disappeared disclosures before next earnings.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NNBR's FinBERT vagueness score of 0.307 in its latest 10-Q sits well below the sector mean of 0.507 and beneath the 25th percentile of 0.420, indicating relatively precise language. The latest filing actually improved, with vagueness declining 5.2 points from the prior quarter. However, 10-K filings run significantly higher (0.766), suggesting annual reports carry more hedging language. The low quarterly vagueness may partly reflect brevity rather than transparency—fewer sentences can mechanically reduce vagueness scores.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unresolved disappearance of NNBR's IRS CARES Act refund claim from its regulatory disclosures. The prior filing detailed specific unfavorable tax rate impacts and referenced a 2021 IRS refund claim, while the current filing reduces legal proceedings to a single boilerplate cross-reference (see 10-Q filed 2025-08-07, p.29). No explanation of claim resolution, denial, or write-off accompanies this removal . For a company with declining revenues undergoing footprint consolidation, an unreported contingency resolution is a legitimate concern for downstream supply chain counterparties.</w:t>
      </w:r>
    </w:p>
    <w:p>
      <w:pPr>
        <w:spacing w:after="120" w:before="40"/>
      </w:pPr>
      <w:r>
        <w:rPr>
          <w:rFonts w:ascii="Arial" w:hAnsi="Arial"/>
          <w:i w:val="0"/>
          <w:color w:val="000000"/>
          <w:sz w:val="18"/>
        </w:rPr>
        <w:t>Secondly, NNBR removed supply chain risk language from both MD&amp;A and Risk Factors during a period of escalating tariff uncertainty (see 10-Q filed 2025-05-07, p.19). The company simultaneously discloses headcount reductions driving SG&amp;A lower without contextualizing whether cuts affect operational functions critical to manufacturing reliability (see 10-Q filed 2025-08-07, p.23). Together, these omissions create an information gap precisely where supply chain customers need visibility—operational resilience and workforce stability at a supplier navigating volume declines and trade disruption.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NNBR's legal and regulatory disclosures are notably sparse versus industrial peers, which typically provide specifics on environmental liabilities, litigation settlements, and contingency accruals. The peer comparison is imperfect given NNBR's smaller scale relative to comparators like SPX Technologies, a known limitation of the sector-matching methodology. Nonetheless, the pattern of minimal substantive detail warrants attention.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NNBR's Note 11 and other receivables schedules across the last four quarters to trace the IRS CARES Act refund claim's disposition and quantify any unrecognized write-off. Second, examine debt covenant compliance and goodwill impairment testing assumptions given declining revenues and ongoing consolidation—areas where NNBR provides little voluntary disclosure. Third, cross-reference earnings call transcripts for management commentary on supply chain conditions and headcount trajectory to fill gaps left by the stripped filing language.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