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NTAP</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5  |  Borderline: 8  |  Dismissed: 8</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2025-08-27)</w:t>
            </w:r>
          </w:p>
        </w:tc>
        <w:tc>
          <w:tcPr>
            <w:tcW w:type="dxa" w:w="7200"/>
          </w:tcPr>
          <w:p>
            <w:pPr>
              <w:spacing w:before="60" w:after="60"/>
            </w:pPr>
            <w:r>
              <w:rPr>
                <w:rFonts w:ascii="Arial" w:hAnsi="Arial"/>
                <w:sz w:val="17"/>
              </w:rPr>
              <w:t>Vagueness: 0.3118  |  Complexity: 0.0614</w:t>
            </w:r>
          </w:p>
        </w:tc>
      </w:tr>
      <w:tr>
        <w:tc>
          <w:tcPr>
            <w:tcW w:type="dxa" w:w="2880"/>
            <w:shd w:val="clear" w:color="auto" w:fill="EBF3FB"/>
          </w:tcPr>
          <w:p>
            <w:pPr>
              <w:spacing w:before="60" w:after="60"/>
            </w:pPr>
            <w:r>
              <w:rPr>
                <w:rFonts w:ascii="Arial" w:hAnsi="Arial"/>
                <w:b/>
                <w:sz w:val="17"/>
              </w:rPr>
              <w:t>Prior (10-K 2025-06-09)</w:t>
            </w:r>
          </w:p>
        </w:tc>
        <w:tc>
          <w:tcPr>
            <w:tcW w:type="dxa" w:w="7200"/>
          </w:tcPr>
          <w:p>
            <w:pPr>
              <w:spacing w:before="60" w:after="60"/>
            </w:pPr>
            <w:r>
              <w:rPr>
                <w:rFonts w:ascii="Arial" w:hAnsi="Arial"/>
                <w:sz w:val="17"/>
              </w:rPr>
              <w:t>Vagueness: 0.8479  |  Complexity: 0.0236</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-0.5361  |  Complexity: +0.0378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NetApp, Inc. (NTAP) presents a material supply chain transparency concern for downstream purchasers. Claude Analysis flags HIGH risk based on systematic removal of geopolitical, tariff, and China-Taiwan supply chain disclosures from the Q1 FY2026 10-Q — topics that have intensified, not diminished. FinBERT ranks vagueness LOW relative to the storage/infrastructure sector, likely reflecting that NTAP's language remains precise where it exists but fails to capture the absence of entire risk topics. The signal divergence itself is informative: NTAP's disclosure reads cleanly but omits critical content. Recommend elevated monitoring and direct supplier engagement on tariff and sourcing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NTAP's latest 10-Q scores a vagueness of 0.3118, well below the sector mean of 0.5066 and sitting beneath the 25th percentile. This favorable FinBERT ranking reflects linguistically precise language in retained disclosures. However, the preceding 10-K spiked to 0.8479 vagueness on a dramatically expanded sentence count (445 vs. ~100–120 in quarterly filings), suggesting annual filings may carry the hedging language stripped from quarterlies. The statistical model measures how text reads, not what text is missing — a critical limitation when evaluating topic-level removals.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consequential finding is the near-complete elimination of geopolitical and tariff risk disclosure from both MD&amp;A and Risk Factors. The prior 10-Q contained specific references to Trump administration tariffs on Mexico, Canada, and China, WTO ITA reliance, Russia/Ukraine sanctions, and the U.S. Outbound Investments Rule. The current filing replaces this with a generic cross-reference to the annual 10-K . Peers Seagate and Western Digital both provide extensive, updated tariff and trade policy discussion in their contemporaneous quarterly filings, with WDC explicitly characterizing recent tariff actions as "unprecedented" . The contrast underscores that NTAP's omission is a company-specific editorial choice, not a sector norm.</w:t>
      </w:r>
    </w:p>
    <w:p>
      <w:pPr>
        <w:spacing w:after="120" w:before="40"/>
      </w:pPr>
      <w:r>
        <w:rPr>
          <w:rFonts w:ascii="Arial" w:hAnsi="Arial"/>
          <w:i w:val="0"/>
          <w:color w:val="000000"/>
          <w:sz w:val="18"/>
        </w:rPr>
        <w:t>Equally material is the removal of China-Taiwan supply chain concentration risk. The prior filing explicitly warned that escalating China-Taiwan tensions could impair contract manufacturers' ability to source key components . This language was deleted without replacement despite NTAP's continued reliance on Asia-Pacific contract manufacturers. Concurrently, legal and regulatory risk disclosure was reduced to a single generic sentence covering all legal contingencies , eliminating previously detailed FCPA, data privacy, cybersecurity, and export control risk language. The pattern across geopolitical, supply chain, and regulatory categories suggests coordinated disclosure minimization rather than isolated editorial judgment.</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Both Seagate (STX) and Western Digital (WDC) provide substantially more detailed geopolitical, tariff, supply chain, and legal risk disclosures in their contemporaneous quarterly filings. NTAP's stripped-down approach is an outlier within the data infrastructure storage peer group. Note that STX and WDC have more vertically integrated manufacturing models, which partially explains disclosure volume differences, but NTAP's prior filings demonstrate it recognized comparable exposure before choosing to remove it.</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NTAP's FY2025 10-K (filed June 2025) to determine whether geopolitical and supply chain risk language was preserved there or also reduced, establishing whether the quarterly omission reflects a cross-reference strategy or a broader disclosure retreat. Second, on the next earnings call or through direct engagement, press management for specifics on tariff rates applicable to NTAP products, contract manufacturer geographic concentration (particularly Taiwan), and any supply chain restructuring underway. Third, map NTAP's disclosed contract manufacturer commitments against known Tier 1 suppliers to independently assess China-Taiwan concentration risk.</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