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NTIC</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0  |  Borderline: 1  |  Dismissed: 9</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2025-07-11)</w:t>
            </w:r>
          </w:p>
        </w:tc>
        <w:tc>
          <w:tcPr>
            <w:tcW w:type="dxa" w:w="7200"/>
          </w:tcPr>
          <w:p>
            <w:pPr>
              <w:spacing w:before="60" w:after="60"/>
            </w:pPr>
            <w:r>
              <w:rPr>
                <w:rFonts w:ascii="Arial" w:hAnsi="Arial"/>
                <w:sz w:val="17"/>
              </w:rPr>
              <w:t>Vagueness: 0.3295  |  Complexity: 0.1070</w:t>
            </w:r>
          </w:p>
        </w:tc>
      </w:tr>
      <w:tr>
        <w:tc>
          <w:tcPr>
            <w:tcW w:type="dxa" w:w="2880"/>
            <w:shd w:val="clear" w:color="auto" w:fill="EBF3FB"/>
          </w:tcPr>
          <w:p>
            <w:pPr>
              <w:spacing w:before="60" w:after="60"/>
            </w:pPr>
            <w:r>
              <w:rPr>
                <w:rFonts w:ascii="Arial" w:hAnsi="Arial"/>
                <w:b/>
                <w:sz w:val="17"/>
              </w:rPr>
              <w:t>Prior (10-Q 2025-04-10)</w:t>
            </w:r>
          </w:p>
        </w:tc>
        <w:tc>
          <w:tcPr>
            <w:tcW w:type="dxa" w:w="7200"/>
          </w:tcPr>
          <w:p>
            <w:pPr>
              <w:spacing w:before="60" w:after="60"/>
            </w:pPr>
            <w:r>
              <w:rPr>
                <w:rFonts w:ascii="Arial" w:hAnsi="Arial"/>
                <w:sz w:val="17"/>
              </w:rPr>
              <w:t>Vagueness: 0.3295  |  Complexity: 0.1127</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+0.0000  |  Complexity: -0.0057</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Northern Technologies International Corporation (NTIC) presents minimal supply chain disclosure risk. Both the Claude Analysis signal (LOW) and FinBERT statistical signal (LOW) converge on this assessment. NTIC's vagueness score sits well below the sector mean, and recent quarterly filings show stable-to-improving transparency. The sole borderline flag involves potential relocation of specific tax figures rather than genuine omission. No immediate escalation is warranted; standard periodic monitoring is sufficient.</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NTIC's latest FinBERT vagueness score of 0.3295 falls meaningfully below the sector mean of 0.5066, placing the company approximately 17.7 percentage points below average and well under the 25th percentile threshold of 0.4199. Quarterly filings have trended toward lower vagueness since the annual 10-K, and the most recent period shows zero change in vagueness with a marginal decline in complexity. This profile is consistent with above-average disclosure quality relative to the 185-company sector universe.</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only borderline concern involves the potential absence of specific cumulative undistributed earnings figures from the current filing excerpts. Prior periods disclosed precise dollar amounts ($24.1 million and $23.5 million) on which U.S. income and foreign withholding taxes had not been recognized (see 10-Q filed 2025-07-11, p.30), whereas the corresponding current-period text shifts to broader regulatory and legal language . However, Opus analysis notes this likely reflects text sampling limitations rather than genuine omission, as these figures typically appear in financial statement footnotes not fully captured in the excerpt window.</w:t>
      </w:r>
    </w:p>
    <w:p>
      <w:pPr>
        <w:spacing w:after="120" w:before="40"/>
      </w:pPr>
      <w:r>
        <w:rPr>
          <w:rFonts w:ascii="Arial" w:hAnsi="Arial"/>
          <w:i w:val="0"/>
          <w:color w:val="000000"/>
          <w:sz w:val="18"/>
        </w:rPr>
        <w:t>Notably, nine of ten initial flags were dismissed upon investigation, with NTIC frequently found to be the stronger discloser relative to peers. The company added a dedicated tariffs section with specific policy details, effective dates, and percentage ranges in its current filings — a proactive disclosure improvement that contrasts with broader sector trends toward generality on trade policy impacts.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NTIC's disclosure quality ranks favorably against the 185-company sector universe, sitting in approximately the bottom quartile for vagueness — meaning it is among the clearest communicators. Peer comparisons in the flag analysis consistently found NTIC providing more specific disclosures than comparators. The peer set composition for this specialty chemicals and materials company may imperfectly capture its niche, which is a known limitation of the sector-level benchmarking approach.</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verify that cumulative undistributed earnings figures and the associated deferred tax position remain disclosed in the complete financial statement footnotes of the most recent 10-Q, resolving the sole borderline flag. Second, monitor the noted discrepancy between Credit Agreement margin rates cited in the notes (2.35%) versus MD&amp;A (2.15%) as a potential drafting error that could signal internal control weaknesses. Third, track PHMSA regulatory approval timelines given disclosed delays tied to political climate and DOGE actions, which could materially affect oil and gas segment revenue timing.</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15:58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