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OFLX</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5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2025-08-01)</w:t>
            </w:r>
          </w:p>
        </w:tc>
        <w:tc>
          <w:tcPr>
            <w:tcW w:type="dxa" w:w="7200"/>
          </w:tcPr>
          <w:p>
            <w:pPr>
              <w:spacing w:before="60" w:after="60"/>
            </w:pPr>
            <w:r>
              <w:rPr>
                <w:rFonts w:ascii="Arial" w:hAnsi="Arial"/>
                <w:sz w:val="17"/>
              </w:rPr>
              <w:t>Vagueness: 0.2618  |  Complexity: 0.3109</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0.2657  |  Complexity: 0.3123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-0.0039  |  Complexity: -0.0014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Omega Flex, Inc. (OFLX) presents a divergent risk signal for supply chain monitoring. Claude Analysis flags MEDIUM risk driven by a consistent pattern of omitted tariff, geopolitical, and supply chain disclosures across the 2025 filing cycle—material gaps for a specialty manufacturer sourcing raw materials internationally. FinBERT ranks vagueness LOW, well below the sector mean, indicating the language that does appear is precise rather than evasive. The divergence suggests OFLX's disclosure risk stems from omission rather than obfuscation. Recommend targeted engagement on tariff exposure and operating cash flow transparency.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OFLX's latest 10-Q vagueness score of 0.2618 sits 24.5 percentage points below the 185-company sector mean of 0.5066, placing it firmly below the 25th percentile. The improving trend—vagueness declining modestly from 0.2714 to 0.2618 across recent 10-Qs—confirms that the company's existing prose is unusually precise for the industrials sector. Complexity scores remain stable near 0.31. This low-vagueness profile makes the content-level omissions identified by Claude Analysis more striking: the risk lies not in how OFLX discloses but in what it chooses not to disclose.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complete absence of tariff and trade-policy risk disclosure in a 2025 filing from a manufacturer with international subsidiaries and raw material procurement obligations. OFLX's MD&amp;A addresses only foreign currency transaction gains while peers explicitly warn of tariff-driven cost and demand impacts (see 10-Q filed 2025-08-01, p.26). The company's Risk Factors section contains no tariff, Section 232, or reciprocal tariff language despite plausible exposure on stainless steel and other imported inputs—a gap that may raise Reg S-K known-trends concerns .</w:t>
      </w:r>
    </w:p>
    <w:p>
      <w:pPr>
        <w:spacing w:after="120" w:before="40"/>
      </w:pPr>
      <w:r>
        <w:rPr>
          <w:rFonts w:ascii="Arial" w:hAnsi="Arial"/>
          <w:i w:val="0"/>
          <w:color w:val="000000"/>
          <w:sz w:val="18"/>
        </w:rPr>
        <w:t>Secondarily, OFLX removed specific operating cash flow figures and year-over-year comparisons from its liquidity discussion, retaining only a general seasonal narrative . This follows a prior period that quantified a $1.15 million decline in operating cash. The disappearance of supply chain lead-time risk language previously disclosed for CMT products further compounds the pattern . Taken together, these omissions create a coherent gap around cost, cash flow, and sourcing risk that merits direct inquiry.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sector peers such as FGI Industries and BW, which provide extensive tariff and supply chain risk disclosures, OFLX's silence is conspicuous. However, peer comparisons carry a known limitation: BW's cosine distance (0.295) suggests a less precise match, and FGI's global manufacturing footprint is substantially broader. The comparison is directionally useful but should not be over-weighted given OFLX's niche positioning in flexible gas piping.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OFLX's bill-of-materials exposure by sourcing geography—particularly stainless steel and fittings subject to Section 232 tariffs—using trade databases and supplier disclosures. Second, independently compute six-month operating cash flows from the cash flow statement to assess whether the narrative omission masks deterioration. Third, engage OFLX's investor relations directly on tariff cost pass-through mechanisms, CMT lead-time normalization, and the rationale for removing supply chain risk language from filings.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