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OIS</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1  |  Borderline: 1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0.6916  |  Complexity: 0.0858</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0.6927  |  Complexity: 0.0854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-0.0011  |  Complexity: +0.0004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Oil States International (OIS) presents a divergent disclosure risk signal: Claude Analysis rates concern as LOW, identifying only one genuine finding involving removal of foreign currency loss specifics, while FinBERT ranks OIS's vagueness as HIGH — 18.5 percentage points above the sector mean and well above the 75th percentile. This divergence suggests OIS's filings are structurally vague relative to peers even though quarter-over-quarter changes are minimal. Supply chain analysts should treat OIS as a baseline-elevated monitoring priority and verify quantitative disclosures in financial statement footnotes.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OIS's FinBERT vagueness score of 0.692 in its latest 10-Q sits far above the 185-company sector mean of 0.507 and exceeds the 75th percentile of 0.596. However, the trend is essentially flat: the latest filing's vagueness declined by just 0.001 versus the prior quarter. Annual filings consistently score higher (~0.82) than quarterly filings (~0.69), a pattern likely reflecting 10-K boilerplate risk language. The elevated baseline, rather than any deteriorating trajectory, is the primary concern.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involves the removal of specific dollar amounts from OIS's foreign currency risk discussion. Prior filings quantified realized FX losses at $0.3 million and disclosed accumulated other comprehensive loss moving from $79.5 million to $74.0 million; the current period replaces these with percentage-based rate changes only (see 10-Q filed 2025-07-31, p.32). This elimination of magnitude context impairs assessment of whether currency exposure has grown materially during the six-month period ended June 2025.</w:t>
      </w:r>
    </w:p>
    <w:p>
      <w:pPr>
        <w:spacing w:after="120" w:before="40"/>
      </w:pPr>
      <w:r>
        <w:rPr>
          <w:rFonts w:ascii="Arial" w:hAnsi="Arial"/>
          <w:i w:val="0"/>
          <w:color w:val="000000"/>
          <w:sz w:val="18"/>
        </w:rPr>
        <w:t>A borderline finding involves the disappearance of ABL facility utilization details — specifically, the $16.2 million in outstanding letters of credit and confirmation of zero borrowings — from the Risk Factors section . This information may have migrated to the condensed financial statement footnotes rather than been suppressed, but its absence from the risk narrative reduces the immediacy of liquidity visibility for analysts performing quick-scan due diligence.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OIS's absolute vagueness level significantly exceeds the sector median, placing it in the top quartile of the 185-company oilfield services universe. Notably, the Opus analysis found that in several peer-comparison flags, OIS was actually the more transparent discloser. The peer set used in FinBERT scoring is broad sector-level, which may dilute comparability with OIS's specific sub-segment peers — a known limitation of the current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pull the condensed consolidated financial statement footnotes from OIS's July 2025 10-Q to confirm whether ABL facility utilization and AOCI balances are disclosed there, resolving the borderline liquidity flag. Second, independently calculate the realized FX loss for the six months ended June 2025 using the income statement and compare to the prior-period $0.3 million figure to assess whether omission conceals deterioration. Third, given the persistently elevated baseline vagueness, incorporate OIS into a semi-annual disclosure quality review cycle rather than relying solely on change-based alerts.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