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OMCL</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3  |  Dismissed: 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0.3802  |  Complexity: 0.0910</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0.4223  |  Complexity: 0.0939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-0.0421  |  Complexity: -0.0029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Omnicell, Inc. (OMCL) presents a divergent risk signal for supply chain monitoring. Claude Analysis flags MEDIUM risk driven by the removal of tariff-related competitive vulnerability language and supply chain component quality risk factors during a period of elevated trade uncertainty. FinBERT ranks vagueness as LOW relative to the healthcare technology sector, with the latest filing actually improving in clarity. The divergence likely reflects targeted disclosure deletions that statistical models cannot detect. Recommend targeted engagement on tariff exposure and component sourcing transparency.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OMCL's latest 10-Q (August 2025) registers a vagueness score of 0.380, improving by 4.2 percentage points sequentially and sitting 12.6 points below the sector mean of 0.507. This places the company well below the 25th percentile of its 185-company peer universe, indicating above-average linguistic clarity. The improving trend across quarterly filings — from 0.423 to 0.380 — suggests the overall filing text is becoming more precise, not less. However, this aggregate improvement may mask selective removal of specific risk disclosures.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explicit competitive vulnerability language regarding tariffs. The prior filing warned that competitors may be better positioned to withstand trade restrictions, risking market share loss (see 10-Q filed 2025-08-06, p.41). This language was deleted from the current filing despite OMCL's own MD&amp;A acknowledging 145% China tariffs reduced to 30% — a period when competitive positioning relative to tariffs is arguably more relevant, not less (see 10-Q filed 2025-08-06, p.41).</w:t>
      </w:r>
    </w:p>
    <w:p>
      <w:pPr>
        <w:spacing w:after="120" w:before="40"/>
      </w:pPr>
      <w:r>
        <w:rPr>
          <w:rFonts w:ascii="Arial" w:hAnsi="Arial"/>
          <w:i w:val="0"/>
          <w:color w:val="000000"/>
          <w:sz w:val="18"/>
        </w:rPr>
        <w:t>Separately, a standalone risk factor addressing supply chain component quality and delivery risks — including consequences such as increased repair costs and reputational harm — disappeared entirely without apparent consolidation into other sections (see 10-Q filed 2025-08-06, p.44). When combined with the company's sparse supply chain sourcing language, which currently offers only that it purchases "components from a variety of suppliers and use[s] contract manufacturers" (see 10-Q filed 2025-08-06, p.32), a pattern of declining supply chain transparency emerges precisely when tariff and sourcing risks are intensifying across the healthcare equipment sector.</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Compared to sector peers such as One Stop Systems (OSS), which discloses vendor concentration percentages and specific lead-time disruption impacts, OMCL provides materially less supply chain specificity. Peer selection limitations exist — comparators like Socket Mobile (SCKT) operate in different sub-markets — but the directional finding holds: OMCL's supply chain and tariff disclosures trail peers who quantify exposure rather than describe it narratively.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during the next earnings call or management meeting, directly ask OMCL to quantify tariff-related cost impacts on COGS and gross margins, including the percentage of components sourced from tariff-affected jurisdictions. Second, review warranty and repair expense line items over the trailing four quarters for anomalies that might explain the removal of the component quality risk factor. Third, compare OMCL's full 10-K Risk Factors (February 2025) against the current 10-Q to confirm whether deleted language was consolidated or simply dropped.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