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OSS</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0  |  Borderline: 0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2025-08-07)</w:t>
            </w:r>
          </w:p>
        </w:tc>
        <w:tc>
          <w:tcPr>
            <w:tcW w:type="dxa" w:w="7200"/>
          </w:tcPr>
          <w:p>
            <w:pPr>
              <w:spacing w:before="60" w:after="60"/>
            </w:pPr>
            <w:r>
              <w:rPr>
                <w:rFonts w:ascii="Arial" w:hAnsi="Arial"/>
                <w:sz w:val="17"/>
              </w:rPr>
              <w:t>Vagueness: 0.4468  |  Complexity: 0.2322</w:t>
            </w:r>
          </w:p>
        </w:tc>
      </w:tr>
      <w:tr>
        <w:tc>
          <w:tcPr>
            <w:tcW w:type="dxa" w:w="2880"/>
            <w:shd w:val="clear" w:color="auto" w:fill="EBF3FB"/>
          </w:tcPr>
          <w:p>
            <w:pPr>
              <w:spacing w:before="60" w:after="60"/>
            </w:pPr>
            <w:r>
              <w:rPr>
                <w:rFonts w:ascii="Arial" w:hAnsi="Arial"/>
                <w:b/>
                <w:sz w:val="17"/>
              </w:rPr>
              <w:t>Prior (10-Q 2025-05-07)</w:t>
            </w:r>
          </w:p>
        </w:tc>
        <w:tc>
          <w:tcPr>
            <w:tcW w:type="dxa" w:w="7200"/>
          </w:tcPr>
          <w:p>
            <w:pPr>
              <w:spacing w:before="60" w:after="60"/>
            </w:pPr>
            <w:r>
              <w:rPr>
                <w:rFonts w:ascii="Arial" w:hAnsi="Arial"/>
                <w:sz w:val="17"/>
              </w:rPr>
              <w:t>Vagueness: 0.4557  |  Complexity: 0.2089</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-0.0089  |  Complexity: +0.0233</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One Stop Systems (OSS) presents minimal supply chain disclosure risk at this time. The Claude Analysis signal is LOW, finding zero genuine degradation flags across the most recent filing period—all flagged items reflected peer shortcomings rather than OSS deficiencies. The FinBERT signal is MEDIUM, placing OSS slightly below sector-mean vagueness but within the interquartile range. This divergence is modest and likely reflects OSS's position as an adequate but not exceptional discloser statistically. No immediate action required; maintain routine monitoring cadence.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OSS's latest 10-Q vagueness score of 0.4468 sits 5.98 points below the sector mean of 0.5066 across 185 companies, positioning it near the 25th percentile (P25: 0.4199)—indicating relatively clear language. The quarterly filing trend is stable to slightly improving, with vagueness declining 0.89 points sequentially. Annual 10-K filings show modestly higher vagueness (0.61–0.62) but this is typical for comprehensive annual disclosures. The MEDIUM FinBERT ranking reflects mid-tier positioning rather than a deterioration trend.</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qualitative review found no actionable disclosure degradation. OSS's filings provide dollar-denominated specificity on cost and margin drivers, explicit tariff and geopolitical risk acknowledgments, and detailed legal contingency language. All four flags raised in the automated screen were dismissed because they identified instances where peer companies were less transparent than OSS, not the reverse. This is a notable positive signal: OSS is outperforming its comparison set on disclosure granularity.</w:t>
      </w:r>
    </w:p>
    <w:p>
      <w:pPr>
        <w:spacing w:after="120" w:before="40"/>
      </w:pPr>
      <w:r>
        <w:rPr>
          <w:rFonts w:ascii="Arial" w:hAnsi="Arial"/>
          <w:i w:val="0"/>
          <w:color w:val="000000"/>
          <w:sz w:val="18"/>
        </w:rPr>
        <w:t>Two forward-looking items merit tracking. First, OSS currently provides unusually specific tariff and trade-risk language; any future reduction in this specificity would represent a meaningful departure from established disclosure norms. Second, the company reported a 64.7% increase in R&amp;D expense, and analysts should verify that future filings continue to detail the nature, expected returns, and capitalization treatment of this elevated spend. Neither item constitutes a current concern but both represent areas where disclosure quality could degrade.</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OSS's disclosure quality meaningfully exceeds its automated peer set, which included Socket Mobile (SCKT) and Omnicell (OMCL). All flagged discrepancies favored OSS over peers. However, this peer group spans disparate end markets and scale, which is a known limitation of the current peer-matching methodology for micro-cap technology companies and may reduce the comparative signal's reliability.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establish a baseline of OSS's current tariff and geopolitical risk language to enable period-over-period comparison in future filings—any retreat from current specificity would be a leading indicator of potential supply chain opacity. Second, track the trajectory of R&amp;D spending disclosures, particularly whether management provides project-level detail as the 64.7% increase matures. Third, reassess at the next 10-K filing (expected March 2026), when annual-length disclosures offer the richest comparison surface.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16:00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