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OUST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1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2025-08-11)</w:t>
            </w:r>
          </w:p>
        </w:tc>
        <w:tc>
          <w:tcPr>
            <w:tcW w:type="dxa" w:w="7200"/>
          </w:tcPr>
          <w:p>
            <w:pPr>
              <w:spacing w:before="60" w:after="60"/>
            </w:pPr>
            <w:r>
              <w:rPr>
                <w:rFonts w:ascii="Arial" w:hAnsi="Arial"/>
                <w:sz w:val="17"/>
              </w:rPr>
              <w:t>Vagueness: 0.5157  |  Complexity: 0.0903</w:t>
            </w:r>
          </w:p>
        </w:tc>
      </w:tr>
      <w:tr>
        <w:tc>
          <w:tcPr>
            <w:tcW w:type="dxa" w:w="2880"/>
            <w:shd w:val="clear" w:color="auto" w:fill="EBF3FB"/>
          </w:tcPr>
          <w:p>
            <w:pPr>
              <w:spacing w:before="60" w:after="60"/>
            </w:pPr>
            <w:r>
              <w:rPr>
                <w:rFonts w:ascii="Arial" w:hAnsi="Arial"/>
                <w:b/>
                <w:sz w:val="17"/>
              </w:rPr>
              <w:t>Prior (10-Q 2025-05-09)</w:t>
            </w:r>
          </w:p>
        </w:tc>
        <w:tc>
          <w:tcPr>
            <w:tcW w:type="dxa" w:w="7200"/>
          </w:tcPr>
          <w:p>
            <w:pPr>
              <w:spacing w:before="60" w:after="60"/>
            </w:pPr>
            <w:r>
              <w:rPr>
                <w:rFonts w:ascii="Arial" w:hAnsi="Arial"/>
                <w:sz w:val="17"/>
              </w:rPr>
              <w:t>Vagueness: 0.5706  |  Complexity: 0.0435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-0.0549  |  Complexity: +0.0468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Ouster, Inc. (OUST) presents a MEDIUM supply chain disclosure risk under both the Claude Analysis and FinBERT statistical signals, which are aligned. The most recent 10-Q filing strips material product roadmap detail—including chip development milestones and sensor specifications—and removes quantitative R&amp;D expense comparisons from MD&amp;A. For downstream customers relying on OUST's lidar technology pipeline, this opacity around development timelines and cost trajectory warrants heightened monitoring. We recommend escalating supplier due diligence with direct management engagement on product roadmap status.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OUST's latest 10-Q vagueness score (0.5157) improved sequentially from 0.5706, yet its annual 10-K filings trend upward (0.6911 to 0.7128), suggesting quarterly filings benefit from brevity while annual reports grow more opaque. The company sits near the sector mean (+0.0091 vs. 0.5066 across 185 peers), placing it roughly at the 55th percentile—not an outlier, but the divergence between improving quarterly and deteriorating annual vagueness merits continued tracking.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wholesale removal of product pipeline specificity between the Q1 and Q2 2025 10-Q filings. The prior quarter detailed four sensor models, resolution specifications, REV7 generation status, L4 prototype validation testing, and Chronos chip fabrication progress; the current filing retains only high-level references to Gemini and BlueCity platforms (see 10-Q filed 2025-08-11, p.26). For supply chain counterparties dependent on next-generation lidar components, the disappearance of development milestone disclosures could mask delays or strategic pivots that affect delivery commitments.</w:t>
      </w:r>
    </w:p>
    <w:p>
      <w:pPr>
        <w:spacing w:after="120" w:before="40"/>
      </w:pPr>
      <w:r>
        <w:rPr>
          <w:rFonts w:ascii="Arial" w:hAnsi="Arial"/>
          <w:i w:val="0"/>
          <w:color w:val="000000"/>
          <w:sz w:val="18"/>
        </w:rPr>
        <w:t>The second genuine flag involves the removal of a comparative expense table from MD&amp;A. The prior filing provided specific R&amp;D dollar amounts ($14,985 vs. $13,806 thousand) with percentage attribution ; the current filing substitutes generic language describing what R&amp;D expenses "consist of" without quantitative benchmarks (see 10-Q filed 2025-08-11, p.26). This selective reduction in forward-looking operational sections—while risk factor disclosures remain adequate—suggests deliberate information management rather than a formatting change.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OUST's disclosure quality sits near sector median, and notably, most peer-divergence flags were dismissed because OUST actually provides stronger disclosure than comparators on supply chain, geopolitical, and financial sustainability topics. The borderline internal controls flag (see 10-Q filed 2025-08-11, p.40) reflects a peer-matching limitation rather than a material deficiency, as the comparison juxtaposed risk factors against accounting footnotes.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request a direct management briefing on the current status of L4 prototype validation and Chronos chip programs, specifically whether milestone removals reflect delays, program cancellations, or competitive sensitivity concerns. Second, analysts should independently verify R&amp;D spending trends by extracting figures from the income statement and cash flow disclosures to reconstruct the comparative data stripped from MD&amp;A. Third, monitor the upcoming 10-K filing closely to determine whether annual vagueness continues its upward trend, which would confirm a structural disclosure deterioration pattern.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