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PANW</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0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2025-08-29)</w:t>
            </w:r>
          </w:p>
        </w:tc>
        <w:tc>
          <w:tcPr>
            <w:tcW w:type="dxa" w:w="7200"/>
          </w:tcPr>
          <w:p>
            <w:pPr>
              <w:spacing w:before="60" w:after="60"/>
            </w:pPr>
            <w:r>
              <w:rPr>
                <w:rFonts w:ascii="Arial" w:hAnsi="Arial"/>
                <w:sz w:val="17"/>
              </w:rPr>
              <w:t>Vagueness: 0.6689  |  Complexity: 0.0356</w:t>
            </w:r>
          </w:p>
        </w:tc>
      </w:tr>
      <w:tr>
        <w:tc>
          <w:tcPr>
            <w:tcW w:type="dxa" w:w="2880"/>
            <w:shd w:val="clear" w:color="auto" w:fill="EBF3FB"/>
          </w:tcPr>
          <w:p>
            <w:pPr>
              <w:spacing w:before="60" w:after="60"/>
            </w:pPr>
            <w:r>
              <w:rPr>
                <w:rFonts w:ascii="Arial" w:hAnsi="Arial"/>
                <w:b/>
                <w:sz w:val="17"/>
              </w:rPr>
              <w:t>Prior (10-Q 2025-05-21)</w:t>
            </w:r>
          </w:p>
        </w:tc>
        <w:tc>
          <w:tcPr>
            <w:tcW w:type="dxa" w:w="7200"/>
          </w:tcPr>
          <w:p>
            <w:pPr>
              <w:spacing w:before="60" w:after="60"/>
            </w:pPr>
            <w:r>
              <w:rPr>
                <w:rFonts w:ascii="Arial" w:hAnsi="Arial"/>
                <w:sz w:val="17"/>
              </w:rPr>
              <w:t>Vagueness: 0.4173  |  Complexity: 0.0630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+0.2516  |  Complexity: -0.0274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Palo Alto Networks (PANW) presents a divergent signal profile as a supply chain cybersecurity vendor: Claude Analysis flags LOW risk based on largely explainable disclosure changes, while FinBERT ranks vagueness HIGH at the 84th percentile versus sector peers. The divergence likely reflects PANW's structurally verbose 10-K filings inflating statistical vagueness scores rather than deliberate obfuscation. One material concern—reduced transparency on the Centripetal Networks litigation accrual—warrants targeted follow-up. Recommended action: verify litigation reserve balances in financial statement notes before next portfolio review.</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PANW's latest 10-K vagueness score of 0.6689 sits 1.6 standard deviations above the sector mean of 0.5066, placing it well above the 75th percentile (0.5957) among 185 peers. Notably, the +0.2516 quarter-over-quarter vagueness increase is an artifact of the 10-K versus 10-Q filing format difference; comparing annual filings sequentially (0.6593 to 0.6689) reveals only marginal drift of +0.0096, suggesting stable—if inherently elevated—disclosure complexity rather than acute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involves PANW's Centripetal Networks litigation disclosure. The prior 10-K quantified a $184.4 million accrual against a $151.5 million verdict, but the current filing reports only the reduced post-trial judgment of $113.6 million plus statutory interest on appeal without disclosing the remaining accrual balance (see 10-K filed 2025-08-29, p.38). A $38.8 million partial release was recorded in fiscal 2025, but the filing does not confirm whether the remaining reserve corresponds solely to Centripetal or includes other contingencies. This omission, paired with the removal of the standard loss contingency accrual policy statement from MD&amp;A, reduces investors' ability to independently assess litigation exposure.</w:t>
      </w:r>
    </w:p>
    <w:p>
      <w:pPr>
        <w:spacing w:after="120" w:before="40"/>
      </w:pPr>
      <w:r>
        <w:rPr>
          <w:rFonts w:ascii="Arial" w:hAnsi="Arial"/>
          <w:i w:val="0"/>
          <w:color w:val="000000"/>
          <w:sz w:val="18"/>
        </w:rPr>
        <w:t>Secondarily, the current filing removed valuation allowance assessment language detailing how management considers past operating results, future taxable income estimates, and tax planning strategies when evaluating deferred tax asset recoverability (see 10-K filed 2025-08-29, p.17). While new disclosures on the CyberArk acquisition and OBBB tax law impact partially offset lost granularity, the net effect modestly reduces transparency on two judgment-intensive areas—litigation reserves and deferred tax assets.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PANW's vagueness score exceeds the sector 75th percentile, but this should be interpreted cautiously. The FinBERT peer universe of 185 companies likely includes hardware and IT services firms with materially different disclosure structures. Cybersecurity-pure-play comparisons would be more informative; this peer selection limitation is a known constraint of the current sector classification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Note disclosures in the fiscal 2025 10-K financial statements to confirm the exact Centripetal litigation accrual balance and assess whether appeal downside exceeds the reserved amount. Second, compare PANW's deferred tax asset and valuation allowance disclosures year-over-year in the tax footnote to determine whether removed MD&amp;A language signals a substantive methodology change. Third, on the next quarterly earnings call, seek management commentary on remaining litigation contingencies and accrual adequacy.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