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PH</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3  |  Borderline: 6  |  Dismissed: 1</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2025-08-22)</w:t>
            </w:r>
          </w:p>
        </w:tc>
        <w:tc>
          <w:tcPr>
            <w:tcW w:type="dxa" w:w="7200"/>
          </w:tcPr>
          <w:p>
            <w:pPr>
              <w:spacing w:before="60" w:after="60"/>
            </w:pPr>
            <w:r>
              <w:rPr>
                <w:rFonts w:ascii="Arial" w:hAnsi="Arial"/>
                <w:sz w:val="17"/>
              </w:rPr>
              <w:t>Vagueness: 0.5142  |  Complexity: 0.1294</w:t>
            </w:r>
          </w:p>
        </w:tc>
      </w:tr>
      <w:tr>
        <w:tc>
          <w:tcPr>
            <w:tcW w:type="dxa" w:w="2880"/>
            <w:shd w:val="clear" w:color="auto" w:fill="EBF3FB"/>
          </w:tcPr>
          <w:p>
            <w:pPr>
              <w:spacing w:before="60" w:after="60"/>
            </w:pPr>
            <w:r>
              <w:rPr>
                <w:rFonts w:ascii="Arial" w:hAnsi="Arial"/>
                <w:b/>
                <w:sz w:val="17"/>
              </w:rPr>
              <w:t>Prior (10-Q 2025-05-06)</w:t>
            </w:r>
          </w:p>
        </w:tc>
        <w:tc>
          <w:tcPr>
            <w:tcW w:type="dxa" w:w="7200"/>
          </w:tcPr>
          <w:p>
            <w:pPr>
              <w:spacing w:before="60" w:after="60"/>
            </w:pPr>
            <w:r>
              <w:rPr>
                <w:rFonts w:ascii="Arial" w:hAnsi="Arial"/>
                <w:sz w:val="17"/>
              </w:rPr>
              <w:t>Vagueness: 0.3381  |  Complexity: 0.0408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+0.1761  |  Complexity: +0.0886</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Parker Hannifin presents a MEDIUM supply chain transparency risk under both the Claude Analysis and FinBERT statistical signals, which are directionally aligned. The company systematically reduced disclosure specificity in its FY2025 10-K across safety metrics, geopolitical risk factors, goodwill impairment methodology, and supply chain resilience—areas directly relevant to downstream procurement reliability. The sharp vagueness increase in the latest annual filing (+0.18 vs. the prior quarter) warrants elevated monitoring. We recommend placing PH on the enhanced due diligence watchlist and validating operational continuity through direct supplier engagement.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PH's latest 10-K vagueness score of 0.514 sits marginally above the 185-company industrial sector mean of 0.507, placing it near the 55th percentile. Quarterly filings showed a favorable declining vagueness trend (0.535 → 0.375 → 0.360 → 0.338), but the annual filing reversed this trajectory with a +0.176 spike, accompanied by a +0.089 increase in complexity. This annual-filing reversion pattern suggests deliberate condensation of risk disclosures during the comprehensive yearly review cycle rather than organic language drift.</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complete removal of quantitative safety performance metrics—specifically the recordable incident rate of 0.31 per 100 employees and the five-year 45% improvement trend—from a filing period that included a significant facility fire at Saegertown in February 2025 . This classic pattern of withdrawing previously favorable KPIs when trends potentially reverse demands immediate attention from any buyer dependent on PH's manufacturing continuity. The fire disclosure itself is notably sparse, acknowledging damaged facilities and a production pause but omitting quantified financial impact or full recovery timelines .</w:t>
      </w:r>
    </w:p>
    <w:p>
      <w:pPr>
        <w:spacing w:after="120" w:before="40"/>
      </w:pPr>
      <w:r>
        <w:rPr>
          <w:rFonts w:ascii="Arial" w:hAnsi="Arial"/>
          <w:i w:val="0"/>
          <w:color w:val="000000"/>
          <w:sz w:val="18"/>
        </w:rPr>
        <w:t>Equally concerning is the wholesale elimination of geopolitical risk specificity. The prior filing enumerated 18+ international risk factors including currency restrictions, nationalization risk, and Russia-Ukraine conflict consequences; the current filing condenses this to a single generic sentence acknowledging non-U.S. operations . Additionally, goodwill impairment testing methodology—including discount rate assumptions, cash flow allocation descriptions, and the annual testing date—was stripped from Critical Accounting Policies, reducing transparency on a key judgment area for a serial acquirer carrying substantial goodwill (see 10-K filed 2025-08-22, p.20).</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industrial peers such as Crane Company and Watts Water Technologies, PH's supply chain and human capital disclosures are notably thin. CR provides detailed single-source dependency and component availability discussion; WTS discloses specific engagement metrics and restructuring headcounts. PH's brevity is partially attributable to its larger, more decentralized structure, but the gap is material given $56 million in active realignment charges and a real-world facility disruption. Peer selection is limited to available sector comparables and may not fully reflect PH's diversified conglomerate profile.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directly request PH's current recordable incident rate and Saegertown restoration status through investor relations or supplier qualification channels to assess whether safety trends have reversed. Second, map PH facility exposures in the portfolio's supply chain to evaluate concentration risk from any ongoing Saegertown production constraints. Third, review PH's Item 1 and sustainability report for relocated disclosures before concluding that information was suppressed rather than reorganized, and benchmark any findings against next quarter's 10-Q for continued degradation.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16:01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