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PLOW</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0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2025-08-05)</w:t>
            </w:r>
          </w:p>
        </w:tc>
        <w:tc>
          <w:tcPr>
            <w:tcW w:type="dxa" w:w="7200"/>
          </w:tcPr>
          <w:p>
            <w:pPr>
              <w:spacing w:before="60" w:after="60"/>
            </w:pPr>
            <w:r>
              <w:rPr>
                <w:rFonts w:ascii="Arial" w:hAnsi="Arial"/>
                <w:sz w:val="17"/>
              </w:rPr>
              <w:t>Vagueness: 0.3432  |  Complexity: 0.0671</w:t>
            </w:r>
          </w:p>
        </w:tc>
      </w:tr>
      <w:tr>
        <w:tc>
          <w:tcPr>
            <w:tcW w:type="dxa" w:w="2880"/>
            <w:shd w:val="clear" w:color="auto" w:fill="EBF3FB"/>
          </w:tcPr>
          <w:p>
            <w:pPr>
              <w:spacing w:before="60" w:after="60"/>
            </w:pPr>
            <w:r>
              <w:rPr>
                <w:rFonts w:ascii="Arial" w:hAnsi="Arial"/>
                <w:b/>
                <w:sz w:val="17"/>
              </w:rPr>
              <w:t>Prior (10-Q 2025-05-06)</w:t>
            </w:r>
          </w:p>
        </w:tc>
        <w:tc>
          <w:tcPr>
            <w:tcW w:type="dxa" w:w="7200"/>
          </w:tcPr>
          <w:p>
            <w:pPr>
              <w:spacing w:before="60" w:after="60"/>
            </w:pPr>
            <w:r>
              <w:rPr>
                <w:rFonts w:ascii="Arial" w:hAnsi="Arial"/>
                <w:sz w:val="17"/>
              </w:rPr>
              <w:t>Vagueness: 0.3753  |  Complexity: 0.0900</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-0.0321  |  Complexity: -0.0229</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Douglas Dynamics (PLOW) presents a divergent disclosure risk signal for supply chain monitoring. Claude Analysis flags MEDIUM risk based on meaningful removal of granular operational strategy language from the most recent 10-K, while FinBERT ranks the company LOW relative to its sector, with vagueness well below the peer mean. The divergence likely reflects that quarterly filings are naturally less detailed, masking the annual filing degradation. Analysts should investigate PLOW's operational flexibility and pre-season order dynamics as part of ongoing supplier due diligence.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PLOW's latest 10-Q vagueness score of 0.343 sits 16 percentage points below the sector mean of 0.507, placing it comfortably in the lower quartile of its 185-company universe. The most recent quarter showed a modest improvement of -0.03 in vagueness. However, the 2025 10-K registered a vagueness spike to 0.643 — above the sector 75th percentile — suggesting annual filings warrant closer scrutiny even as quarterly disclosures appear relatively transparent.</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genuine flag involves the replacement of four specific cost management and business model strategies — a highly variable workforce, enterprise-wide lean production, a pre-season distributor order incentive program, and vertical integration — with a single generalized reference to "effective management of our assets" (see 10-Q filed 2025-08-05, p.38). This compression occurred between the 2024 and 2025 10-K filings and removes precisely the operational detail investors need to evaluate PLOW's resilience in navigating its acutely seasonal, weather-dependent revenue cycle.</w:t>
      </w:r>
    </w:p>
    <w:p>
      <w:pPr>
        <w:spacing w:after="120" w:before="40"/>
      </w:pPr>
      <w:r>
        <w:rPr>
          <w:rFonts w:ascii="Arial" w:hAnsi="Arial"/>
          <w:i w:val="0"/>
          <w:color w:val="000000"/>
          <w:sz w:val="18"/>
        </w:rPr>
        <w:t>The prior filing's granular articulation of these four pillars (see 10-Q filed 2025-08-05, p.38) gave downstream customers and investors a clear framework for assessing supply continuity risk. Their removal, without explanation, may signal that one or more of these strategies has weakened — particularly the pre-season order program, which serves as a leading indicator of distributor confidence and channel health. Three additional peer-divergence flags were dismissed as false positives driven by inappropriate cross-sector comparisons, a known limitation of the current peer selection methodology.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PLOW's quarterly vagueness scores consistently fall below the sector mean and 25th percentile, suggesting above-average disclosure quality on a statistical basis. However, the peer universe of 185 companies likely includes firms with materially different business models and capital structures, which limits the precision of direct comparisons. The 10-K vagueness spike is notable even in this broader context.</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review PLOW's most recent 10-K side-by-side with the 2024 10-K to catalog all removed operational language and assess whether substitute disclosures exist elsewhere in the filing. Second, engage PLOW management directly during the next earnings call or investor meeting to ask why specific references to the pre-season order program, variable workforce model, and lean production were eliminated. Third, cross-reference channel checks with PLOW's distributor network to independently verify whether pre-season order volumes or terms have deteriorated.</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16:01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