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POWW</w:t>
      </w:r>
    </w:p>
    <w:p>
      <w:pPr>
        <w:spacing w:after="40"/>
      </w:pPr>
      <w:r>
        <w:rPr>
          <w:rFonts w:ascii="Arial" w:hAnsi="Arial"/>
          <w:b/>
          <w:color w:val="1F3D6B"/>
          <w:sz w:val="20"/>
        </w:rPr>
        <w:t xml:space="preserve">CLAUDE ANALYSIS: </w:t>
      </w:r>
      <w:r>
        <w:rPr>
          <w:rFonts w:ascii="Arial" w:hAnsi="Arial"/>
          <w:b/>
          <w:color w:val="C00000"/>
          <w:sz w:val="20"/>
        </w:rPr>
        <w:t>HIGH</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3  |  Borderline: 3  |  Dismissed: 5</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2025-08-08)</w:t>
            </w:r>
          </w:p>
        </w:tc>
        <w:tc>
          <w:tcPr>
            <w:tcW w:type="dxa" w:w="7200"/>
          </w:tcPr>
          <w:p>
            <w:pPr>
              <w:spacing w:before="60" w:after="60"/>
            </w:pPr>
            <w:r>
              <w:rPr>
                <w:rFonts w:ascii="Arial" w:hAnsi="Arial"/>
                <w:sz w:val="17"/>
              </w:rPr>
              <w:t>Vagueness: 0.2650  |  Complexity: 0.1593</w:t>
            </w:r>
          </w:p>
        </w:tc>
      </w:tr>
      <w:tr>
        <w:tc>
          <w:tcPr>
            <w:tcW w:type="dxa" w:w="2880"/>
            <w:shd w:val="clear" w:color="auto" w:fill="EBF3FB"/>
          </w:tcPr>
          <w:p>
            <w:pPr>
              <w:spacing w:before="60" w:after="60"/>
            </w:pPr>
            <w:r>
              <w:rPr>
                <w:rFonts w:ascii="Arial" w:hAnsi="Arial"/>
                <w:b/>
                <w:sz w:val="17"/>
              </w:rPr>
              <w:t>Prior (10-K 2025-06-16)</w:t>
            </w:r>
          </w:p>
        </w:tc>
        <w:tc>
          <w:tcPr>
            <w:tcW w:type="dxa" w:w="7200"/>
          </w:tcPr>
          <w:p>
            <w:pPr>
              <w:spacing w:before="60" w:after="60"/>
            </w:pPr>
            <w:r>
              <w:rPr>
                <w:rFonts w:ascii="Arial" w:hAnsi="Arial"/>
                <w:sz w:val="17"/>
              </w:rPr>
              <w:t>Vagueness: 0.7427  |  Complexity: 0.0520</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-0.4777  |  Complexity: +0.1073</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AMMO, Inc. (POWW) presents a material supply chain counterparty transparency risk. Claude Analysis flags a HIGH signal driven by removal of critical SEC enforcement investigation disclosures and reduced material weakness remediation detail during a transformative period including ammunition business divestiture, CEO turnover, and a $51M litigation settlement. The FinBERT statistical signal is LOW, ranking below the sector mean in vagueness, likely reflecting the shorter and more formulaic nature of recent quarterly filings rather than substantive transparency. Given the divergence, we recommend elevated monitoring with immediate due diligence on undisclosed regulatory exposure.</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POWW's latest 10-Q vagueness score of 0.265 sits well below the sector mean of 0.507, placing it in the lower quartile of the 185-company universe. However, this statistical result is misleading: the filing contains only 125 sentences versus 473–630 in prior annual filings, suggesting the low vagueness score reflects brevity and boilerplate rather than genuine clarity. The sharp drop from the 10-K's 0.743 vagueness further indicates structural filing differences rather than improved disclosure quality.</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critical finding is the apparent removal of highly specific SEC enforcement investigation risk disclosures. The prior filing warned that "the SEC Staff is investigating and likely will recommend that the SEC bring an enforcement action" across five enumerated categories including share-based compensation valuation and related party transactions (see 10-Q filed 2025-05-20, p.57). The current filing replaces this with exhibit cross-references to settlement documents pertaining to the separate Delaware Litigation, effectively eliminating the reader's ability to assess ongoing regulatory exposure without independent research .</w:t>
      </w:r>
    </w:p>
    <w:p>
      <w:pPr>
        <w:spacing w:after="120" w:before="40"/>
      </w:pPr>
      <w:r>
        <w:rPr>
          <w:rFonts w:ascii="Arial" w:hAnsi="Arial"/>
          <w:i w:val="0"/>
          <w:color w:val="000000"/>
          <w:sz w:val="18"/>
        </w:rPr>
        <w:t>Equally concerning is the significant degradation in material weakness remediation transparency. Prior filings detailed specific initiatives—segregation of duties enhancements, CFO and VP of Accounting hires, related party transaction policies—accompanied by explicit confidence statements about remediation effectiveness. The current filing reduces this to high-level assertions about "reinforced adherence" while simultaneously disclosing CEO resignation as part of the settlement (see 10-Q filed 2025-08-08, p.32). The convergence of leadership turnover with reduced remediation disclosure warrants scrutiny, particularly as the restatement-related risks acknowledged in prior filings—including significant management time and resource diversion—appear to have been dropped entirely (see 10-K filed 2025-06-16, p.21).</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POWW's FinBERT vagueness ranks below the sector 25th percentile (0.265 vs. P25 of 0.420), but this comparison is structurally compromised by the company's recent transformation from an ammunition manufacturer to a marketplace-only business. Peer selection within the 185-company universe likely includes firms with stable operations and fuller filings, making the statistical comparison less informative than the qualitative disclosure gaps identified above.</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independently verify the SEC investigation status by reviewing EDGAR for any Wells Notice filings or 8-K disclosures since January 2025. Second, review the actual Note 1 and Note 2 settlement exhibits (10.6, 10.7) to assess covenant terms, cross-default provisions, and acceleration triggers on the $51M obligation relative to Marketplace-only cash flows. Third, request management commentary during the next earnings call on material weakness remediation timelines and whether CEO turnover has disrupted previously committed initiatives.</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16:01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