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PPIH</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3  |  Borderline: 1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2025-09-15)</w:t>
            </w:r>
          </w:p>
        </w:tc>
        <w:tc>
          <w:tcPr>
            <w:tcW w:type="dxa" w:w="7200"/>
          </w:tcPr>
          <w:p>
            <w:pPr>
              <w:spacing w:before="60" w:after="60"/>
            </w:pPr>
            <w:r>
              <w:rPr>
                <w:rFonts w:ascii="Arial" w:hAnsi="Arial"/>
                <w:sz w:val="17"/>
              </w:rPr>
              <w:t>Vagueness: 0.1950  |  Complexity: 0.1388</w:t>
            </w:r>
          </w:p>
        </w:tc>
      </w:tr>
      <w:tr>
        <w:tc>
          <w:tcPr>
            <w:tcW w:type="dxa" w:w="2880"/>
            <w:shd w:val="clear" w:color="auto" w:fill="EBF3FB"/>
          </w:tcPr>
          <w:p>
            <w:pPr>
              <w:spacing w:before="60" w:after="60"/>
            </w:pPr>
            <w:r>
              <w:rPr>
                <w:rFonts w:ascii="Arial" w:hAnsi="Arial"/>
                <w:b/>
                <w:sz w:val="17"/>
              </w:rPr>
              <w:t>Prior (10-Q 2025-06-13)</w:t>
            </w:r>
          </w:p>
        </w:tc>
        <w:tc>
          <w:tcPr>
            <w:tcW w:type="dxa" w:w="7200"/>
          </w:tcPr>
          <w:p>
            <w:pPr>
              <w:spacing w:before="60" w:after="60"/>
            </w:pPr>
            <w:r>
              <w:rPr>
                <w:rFonts w:ascii="Arial" w:hAnsi="Arial"/>
                <w:sz w:val="17"/>
              </w:rPr>
              <w:t>Vagueness: 0.2269  |  Complexity: 0.1411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-0.0319  |  Complexity: -0.0023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Perma-Pipe, Inc. (PPIH) presents elevated supply chain counterparty risk driven by multiple unresolved material weaknesses in internal controls, a notable absence of supply chain risk disclosure despite significant raw materials exposure and MENA operations, and CEO departure during a critical remediation period. Claude Analysis assigns a HIGH signal based on these qualitative findings, while FinBERT ranks vagueness as LOW relative to the sector (31st percentile below mean). This divergence reflects PPIH's unusually candid disclosure of control failures rather than low risk. Recommend enhanced due diligence and contingency planning for any supply chain reliance on PPIH.</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PPIH's latest 10-Q vagueness score of 0.195 sits well below the sector mean of 0.507, placing it in the lowest quartile of its 185-company peer universe. Vagueness has declined modestly from 0.227 to 0.195 sequentially, with complexity also stable. The low FinBERT signal reflects genuinely detailed, specific language — notably around material weakness disclosures — rather than evasion. The 10-K filings show higher vagueness (~0.72) typical of annual boilerplate, while quarterly filings remain precise. This pattern explains the divergence from the Claude HIGH signal: PPIH is transparent about severe problems rather than opaque.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PPIH discloses multiple concurrent material weaknesses spanning journal entry controls, the financial close process, MENA business process controls, IT general controls (user access, change management), and system-generated report accuracy. These deficiencies have already triggered a restatement for fiscal year-end July 31, 2024 and revisions for other periods, with remediation explicitly described as incomplete . The company acknowledges that each weakness "could result in a material misstatement of substantially all accounts and disclosures" — an extraordinary admission that undermines confidence in reported receivables, payables, and project-level financials relevant to supply commitments.</w:t>
      </w:r>
    </w:p>
    <w:p>
      <w:pPr>
        <w:spacing w:after="120" w:before="40"/>
      </w:pPr>
      <w:r>
        <w:rPr>
          <w:rFonts w:ascii="Arial" w:hAnsi="Arial"/>
          <w:i w:val="0"/>
          <w:color w:val="000000"/>
          <w:sz w:val="18"/>
        </w:rPr>
        <w:t>Equally concerning is PPIH's complete silence on supply chain and tariff risks despite carrying $16 million in raw materials inventory, operating across MENA geographies, and actively building out a Qatar facility. The sole reference to counterparty exposure is a generic statement that receivables are "due from geographically dispersed contractors and manufacturing companies" . This gap is stark when compared to peers like CECO Environmental, which explicitly details tariff mitigation strategies and sourcing diversification. Compounding these risks, the former CEO's departure generated a $2.1 million accelerated compensation charge , introducing leadership instability precisely when remediation execution and international expansion demand seasoned oversight.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Compared to CECO Environmental, PPIH's internal control posture is materially weaker — CECO maintains clean controls assessments while PPIH carries multiple material weaknesses. PPIH's supply chain risk disclosure is conspicuously absent where peers actively discuss tariff mitigation and sourcing strategies. The peer set is limited to a single comparator, which constrains the robustness of this comparison — a known limitation of the current analysis.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request PPIH's remediation timeline directly and benchmark progress against the next annual filing, particularly regarding MENA controls and ITGC deficiencies that could affect project-level financial accuracy. Second, independently assess PPIH's raw materials sourcing exposure — steel, insulation, and piping components — to tariff and logistics disruption given the undisclosed Qatar buildout. Third, evaluate contractual protections (pricing escalation clauses, delivery guarantees) in any supply agreements with PPIH and consider requiring enhanced financial reporting covenants given the restatement history.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16:02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