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PRLB</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1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2025-07-31)</w:t>
            </w:r>
          </w:p>
        </w:tc>
        <w:tc>
          <w:tcPr>
            <w:tcW w:type="dxa" w:w="7200"/>
          </w:tcPr>
          <w:p>
            <w:pPr>
              <w:spacing w:before="60" w:after="60"/>
            </w:pPr>
            <w:r>
              <w:rPr>
                <w:rFonts w:ascii="Arial" w:hAnsi="Arial"/>
                <w:sz w:val="17"/>
              </w:rPr>
              <w:t>Vagueness: 0.3152  |  Complexity: 0.0633</w:t>
            </w:r>
          </w:p>
        </w:tc>
      </w:tr>
      <w:tr>
        <w:tc>
          <w:tcPr>
            <w:tcW w:type="dxa" w:w="2880"/>
            <w:shd w:val="clear" w:color="auto" w:fill="EBF3FB"/>
          </w:tcPr>
          <w:p>
            <w:pPr>
              <w:spacing w:before="60" w:after="60"/>
            </w:pPr>
            <w:r>
              <w:rPr>
                <w:rFonts w:ascii="Arial" w:hAnsi="Arial"/>
                <w:b/>
                <w:sz w:val="17"/>
              </w:rPr>
              <w:t>Prior (10-Q 2025-05-02)</w:t>
            </w:r>
          </w:p>
        </w:tc>
        <w:tc>
          <w:tcPr>
            <w:tcW w:type="dxa" w:w="7200"/>
          </w:tcPr>
          <w:p>
            <w:pPr>
              <w:spacing w:before="60" w:after="60"/>
            </w:pPr>
            <w:r>
              <w:rPr>
                <w:rFonts w:ascii="Arial" w:hAnsi="Arial"/>
                <w:sz w:val="17"/>
              </w:rPr>
              <w:t>Vagueness: 0.3673  |  Complexity: 0.0696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-0.0521  |  Complexity: -0.0063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Proto Labs, Inc. (PRLB) presents minimal supply chain disclosure risk. Both the Claude Analysis signal and FinBERT statistical signal register LOW, indicating convergent comfort. PRLB's vagueness score sits well below the sector mean, and the latest filing shows improving rather than deteriorating transparency. Only one genuine disclosure degradation was identified — the removal of specific effective tax rate quantification — which may warrant monitoring for signs of international segment stress. Recommended action is routine surveillance with no escalation required.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PRLB's latest 10-Q vagueness score of 0.3152 sits 0.19 standard deviations below the sector mean of 0.5066 and comfortably below the 25th percentile threshold of 0.4199, placing it among the more transparent filers in the 185-company universe. The most recent filing shows a 5.2-basis-point improvement in vagueness versus the prior quarter, confirming a benign trend. Annual 10-K filings are consistently around 0.70, typical for the longer-form document, with no deterioration year-over-year.</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finding involves the removal of specific effective tax rate quantification in the Q2 2025 10-Q. The prior quarter disclosed an 8.1 percent increase in the effective rate attributed to a non-recurring audit reserve release (see 10-Q filed 2025-05-02, p.10). The current filing replaces this with generic forward-looking language stating the rate "may differ from historical effective tax rates" due to foreign losses and valuation allowances (see 10-Q filed 2025-07-31, p.12). This shift from quantitative to qualitative disclosure on a line item that directly affects earnings quality deserves attention, particularly given the reference to increasing foreign losses ineligible for tax benefits.</w:t>
      </w:r>
    </w:p>
    <w:p>
      <w:pPr>
        <w:spacing w:after="120" w:before="40"/>
      </w:pPr>
      <w:r>
        <w:rPr>
          <w:rFonts w:ascii="Arial" w:hAnsi="Arial"/>
          <w:i w:val="0"/>
          <w:color w:val="000000"/>
          <w:sz w:val="18"/>
        </w:rPr>
        <w:t>A borderline flag was raised regarding the apparent removal of detailed cash flows from financing activities, though this likely reflects an extraction artifact rather than genuine degradation. The prior period extract included specific dollar amounts for share repurchases and tax withholding , while the current extract truncates before reaching that discussion . Verification against the full filing would likely resolve this as a non-issue. Three additional cross-sectional flags were dismissed as false positives arising from inappropriate peer comparisons with fundamentally dissimilar businesses.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PRLB's disclosure quality ranks favorably within its sector, sitting well below the interquartile range on vagueness. The cross-sectional peer comparison in this analysis was limited by the selection of TPCS and VATE as comparators — a leveraged holding company and a small machining firm with covenant violations — which are structurally dissimilar to PRLB's debt-free digital manufacturing model. This is a known limitation that reduces the utility of peer-based flags in this instance.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independently verify PRLB's Q2 2025 effective tax rate by reviewing the income tax footnote in the full 10-Q and comparing it to the 2024 rate to assess whether the vague language masks a material deterioration. Second, analysts should monitor PRLB's international segment disclosures over the next two quarters for evidence of expanding foreign operating losses and growing valuation allowances, which could signal margin pressure in overseas operations relevant to supply chain pricing stability.</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