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PSIX</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2  |  Borderline: 1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2025-08-08)</w:t>
            </w:r>
          </w:p>
        </w:tc>
        <w:tc>
          <w:tcPr>
            <w:tcW w:type="dxa" w:w="7200"/>
          </w:tcPr>
          <w:p>
            <w:pPr>
              <w:spacing w:before="60" w:after="60"/>
            </w:pPr>
            <w:r>
              <w:rPr>
                <w:rFonts w:ascii="Arial" w:hAnsi="Arial"/>
                <w:sz w:val="17"/>
              </w:rPr>
              <w:t>Vagueness: 0.4461  |  Complexity: 0.1214</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0.5122  |  Complexity: 0.1124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-0.0661  |  Complexity: +0.0090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Power Solutions International (PSIX) presents a moderate supply chain disclosure risk. Both the Claude Analysis (MEDIUM) and FinBERT statistical signal (MEDIUM) converge, indicating a consistent pattern of disclosure degradation that warrants attention but not immediate escalation. The most material concern is the removal of an explicit valuation allowance disclosure from MD&amp;A, replaced by aspirational language lacking quantitative substance. Combined with peer-relative gaps in financial risk discussion, this suggests PSIX management may be deliberately softening its narrative. Recommend enhanced monitoring and direct engagement on financial sustainability metrics.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PSIX's latest 10-Q vagueness score (0.4461) sits below the sector mean of 0.5066 and within the interquartile range, placing it near the 40th percentile—superficially unremarkable. However, the annual 10-K filings tell a different story: the FY2025 10-K vagueness score rose to 0.6301, exceeding the sector 75th percentile (0.5957), suggesting that the company's core annual disclosure is becoming less precise even as quarterly filings remain relatively clear. Complexity scores have trended modestly upward, consistent with increasingly convoluted sentence structures.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a temporal degradation in financial sustainability disclosure. PSIX's prior 10-K explicitly stated that "The Company continues to record a full valuation allowance against deferred tax assets" (see 10-Q filed 2025-05-08, p.24), a critical indicator of management's own assessment of future profitability prospects. The current filing replaces this with purely aspirational language about leading the business through a "growth phase with a stronger balance sheet" (see 10-Q filed 2025-08-08, p.24), with no explanation of whether the valuation allowance was released, reduced, or simply omitted from the narrative. If the allowance persists on the balance sheet but has been stripped from MD&amp;A, this constitutes a deliberate softening of risk disclosure.</w:t>
      </w:r>
    </w:p>
    <w:p>
      <w:pPr>
        <w:spacing w:after="120" w:before="40"/>
      </w:pPr>
      <w:r>
        <w:rPr>
          <w:rFonts w:ascii="Arial" w:hAnsi="Arial"/>
          <w:i w:val="0"/>
          <w:color w:val="000000"/>
          <w:sz w:val="18"/>
        </w:rPr>
        <w:t>This temporal finding is reinforced by peer comparison. Brunswick Corporation, a comparable industrial manufacturer, provides granular quantitative disclosure including specific restructuring charges and free cash flow metrics , while PSIX's MD&amp;A contains no quantitative financial health indicators whatsoever. The pattern—removing a negative material fact and offering no compensating quantitative context—suggests management may be reshaping the narrative ahead of a capital raise or strategic transaction.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PSIX's MD&amp;A is notably less quantitative than industrial peers such as Brunswick (BC) and BWX Technologies (BWXT), both of which disclose specific financial obligations, restructuring charges, and cash flow metrics. PSIX provides no comparable detail. The peer set spans different industrial subsegments, which is a known limitation, but the qualitative gap in financial risk disclosure remains striking regardless of peer selection.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pull PSIX's current balance sheet and tax footnotes to verify whether the full valuation allowance against deferred tax assets persists; if it does but was removed from MD&amp;A, document this as a confirmed disclosure degradation for supplier risk scoring. Second, compare the FY2024 and FY2025 10-K MD&amp;A sections side by side to identify any other material disclosures that were quietly dropped. Third, in the next supplier review cycle, request that PSIX provide quantitative financial sustainability metrics—cash flow coverage, liquidity ratios, and deferred tax asset status—as a condition of continued preferred supplier status.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