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PSTG</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2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2025-09-10)</w:t>
            </w:r>
          </w:p>
        </w:tc>
        <w:tc>
          <w:tcPr>
            <w:tcW w:type="dxa" w:w="7200"/>
          </w:tcPr>
          <w:p>
            <w:pPr>
              <w:spacing w:before="60" w:after="60"/>
            </w:pPr>
            <w:r>
              <w:rPr>
                <w:rFonts w:ascii="Arial" w:hAnsi="Arial"/>
                <w:sz w:val="17"/>
              </w:rPr>
              <w:t>Vagueness: 0.3569  |  Complexity: 0.1466</w:t>
            </w:r>
          </w:p>
        </w:tc>
      </w:tr>
      <w:tr>
        <w:tc>
          <w:tcPr>
            <w:tcW w:type="dxa" w:w="2880"/>
            <w:shd w:val="clear" w:color="auto" w:fill="EBF3FB"/>
          </w:tcPr>
          <w:p>
            <w:pPr>
              <w:spacing w:before="60" w:after="60"/>
            </w:pPr>
            <w:r>
              <w:rPr>
                <w:rFonts w:ascii="Arial" w:hAnsi="Arial"/>
                <w:b/>
                <w:sz w:val="17"/>
              </w:rPr>
              <w:t>Prior (10-Q 2025-06-11)</w:t>
            </w:r>
          </w:p>
        </w:tc>
        <w:tc>
          <w:tcPr>
            <w:tcW w:type="dxa" w:w="7200"/>
          </w:tcPr>
          <w:p>
            <w:pPr>
              <w:spacing w:before="60" w:after="60"/>
            </w:pPr>
            <w:r>
              <w:rPr>
                <w:rFonts w:ascii="Arial" w:hAnsi="Arial"/>
                <w:sz w:val="17"/>
              </w:rPr>
              <w:t>Vagueness: 0.3434  |  Complexity: 0.1521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+0.0135  |  Complexity: -0.0055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Pure Storage, Inc. (PSTG) presents low supply chain disclosure risk based on converging signals: both the Claude Analysis and FinBERT assessments register LOW. PSTG's vagueness score sits well below the sector mean (−0.15 standard deviation below the 185-company universe average), and filing-over-filing trend is essentially flat. Two minor gaps merit monitoring—absent MD&amp;A geopolitical context despite extensive Risk Factor coverage, and unquantified supply chain commitments tied to a major hyperscaler ramp—but neither rises to actionable concern. Maintain standard monitoring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PSTG's latest 10-Q vagueness score of 0.357 ranks materially below the sector mean of 0.507 and beneath the 25th percentile threshold of 0.420, placing it among the more transparent filers in the 185-company universe. The sequential increase of +0.014 in vagueness is negligible. Complexity scores remain low and stable. There is no evidence of a deteriorating disclosure trend across the five-filing window spanning April 2024 through September 2025.</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substantive finding is PSTG's omission of geopolitical and macroeconomic context from MD&amp;A despite peer Seagate explicitly addressing trade policy disruptions in the same section. PSTG's MD&amp;A discusses market vision and financial results without acknowledging tariff or trade-policy headwinds (see 10-Q filed 2025-09-10, p.22), whereas its Risk Factors section addresses these risks at length. This internal inconsistency is a disclosure style gap rather than an obfuscation signal, but it limits analysts' ability to assess near-term operational impact from evolving trade policy.</w:t>
      </w:r>
    </w:p>
    <w:p>
      <w:pPr>
        <w:spacing w:after="120" w:before="40"/>
      </w:pPr>
      <w:r>
        <w:rPr>
          <w:rFonts w:ascii="Arial" w:hAnsi="Arial"/>
          <w:i w:val="0"/>
          <w:color w:val="000000"/>
          <w:sz w:val="18"/>
        </w:rPr>
        <w:t>Separately, PSTG references scaling supply chain partner capacity for a hyperscaler production ramp beginning in fiscal 2027 (see 10-Q filed 2025-09-10, p.24) but provides no quantification of associated purchase commitments. NetApp, by comparison, discloses commitments to contract manufacturers and component suppliers explicitly . Given the magnitude of a hyperscale deployment, the absence of purchase obligation detail in MD&amp;A is a modest transparency gap worth tracking as the ramp accelerates. A borderline finding regarding removal of specific IRC Section 174 tax capitalization language from Risk Factors appears to reflect legislative staleness rather than intentional obscuration.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storage peers NetApp and Seagate, PSTG is broadly a stronger discloser in Risk Factors—seven of eight peer-divergence flags were false positives where PSTG was actually more detailed. The two actionable gaps (MD&amp;A macro context, purchase commitment quantification) are narrow and sector-specific. Peer selection is limited to two direct competitors, which constrains the robustness of this comparison.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cross-reference PSTG's earnings call transcripts for management commentary on tariff exposure and hyperscaler supply chain commitments to determine whether oral disclosures materially exceed written MD&amp;A. Second, review the contractual obligations table in PSTG's 10-K notes for purchase commitment trends that would confirm whether the hyperscaler ramp is generating unquantified exposure. No escalation is warranted; reassess at the next 10-K filing cycle.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