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QMCO</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2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2025-09-11)</w:t>
            </w:r>
          </w:p>
        </w:tc>
        <w:tc>
          <w:tcPr>
            <w:tcW w:type="dxa" w:w="7200"/>
          </w:tcPr>
          <w:p>
            <w:pPr>
              <w:spacing w:before="60" w:after="60"/>
            </w:pPr>
            <w:r>
              <w:rPr>
                <w:rFonts w:ascii="Arial" w:hAnsi="Arial"/>
                <w:sz w:val="17"/>
              </w:rPr>
              <w:t>Vagueness: 0.2202  |  Complexity: 0.3293</w:t>
            </w:r>
          </w:p>
        </w:tc>
      </w:tr>
      <w:tr>
        <w:tc>
          <w:tcPr>
            <w:tcW w:type="dxa" w:w="2880"/>
            <w:shd w:val="clear" w:color="auto" w:fill="EBF3FB"/>
          </w:tcPr>
          <w:p>
            <w:pPr>
              <w:spacing w:before="60" w:after="60"/>
            </w:pPr>
            <w:r>
              <w:rPr>
                <w:rFonts w:ascii="Arial" w:hAnsi="Arial"/>
                <w:b/>
                <w:sz w:val="17"/>
              </w:rPr>
              <w:t>Prior (10-K 2025-08-26)</w:t>
            </w:r>
          </w:p>
        </w:tc>
        <w:tc>
          <w:tcPr>
            <w:tcW w:type="dxa" w:w="7200"/>
          </w:tcPr>
          <w:p>
            <w:pPr>
              <w:spacing w:before="60" w:after="60"/>
            </w:pPr>
            <w:r>
              <w:rPr>
                <w:rFonts w:ascii="Arial" w:hAnsi="Arial"/>
                <w:sz w:val="17"/>
              </w:rPr>
              <w:t>Vagueness: 0.7138  |  Complexity: 0.0355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-0.4936  |  Complexity: +0.2938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Quantum Corporation (QMCO) presents a divergent signal profile: Claude Analysis flags MEDIUM risk driven by meaningful disclosure gaps in litigation transparency, geopolitical risk, and debt covenant language, while FinBERT ranks the company's vagueness as LOW relative to the storage/data infrastructure sector. The divergence likely reflects QMCO's detailed quantitative disclosures (which lower vagueness scores) masking qualitative risk-factor omissions that Claude's contextual analysis detects. For supply chain counterparties, the combination of financial distress, opaque litigation exposure, and absent supply chain risk disclosure warrants elevated monitoring and direct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QMCO's latest 10-Q vagueness score of 0.2202 sits well below the sector mean of 0.5066, placing it in approximately the bottom quartile of vagueness—a favorable statistical position. The sharp drop from the 10-K's 0.7138 to the 10-Q's 0.2202 reflects the typical pattern of annual filings carrying more boilerplate language. The low FinBERT signal suggests QMCO's prose is comparatively direct and specific, though this metric captures lexical precision rather than completeness of risk disclosure.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simultaneous disappearance of Arrow Electronics litigation details—previously disclosed with a specific $4.0 million claim and "remote" probability assessment—and the emergence of an unquantified 10b-5 securities fraud class action linked to a financial restatement . The prior filing explicitly classified debt as a current liability due to covenant breach; the current filing softens this to language stating management "expects to be in violation" and is "actively seeking covenant waivers" (see 10-Q filed 2025-09-11, p.9), a rhetorical shift that obscures the severity of the company's liquidity position.</w:t>
      </w:r>
    </w:p>
    <w:p>
      <w:pPr>
        <w:spacing w:after="120" w:before="40"/>
      </w:pPr>
      <w:r>
        <w:rPr>
          <w:rFonts w:ascii="Arial" w:hAnsi="Arial"/>
          <w:i w:val="0"/>
          <w:color w:val="000000"/>
          <w:sz w:val="18"/>
        </w:rPr>
        <w:t>Equally concerning for supply chain counterparties, QMCO provides no substantive geopolitical or supply chain risk disclosure despite deriving 40% of revenue internationally and relying on contract manufacturers for hardware production (see 10-Q filed 2025-09-11, p.8). The prior filing's cautionary language enumerating macroeconomic, geopolitical, and supply chain risks was removed without apparent relocation (see 10-Q filed 2025-09-11, p.5). For a financially distressed company whose suppliers may be tightening terms, this omission is notable.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sector peers such as Pure Storage, QMCO's qualitative risk-factor disclosure is materially thinner—particularly on tariff exposure, single-source supplier dependencies, and component cost volatility. However, peer comparisons carry a known limitation: QMCO is a distressed, sub-scale enterprise compared to profitable peers like PSTG and NTAP, which may partly explain disclosure breadth differences driven by regulatory complexity and resource constraints.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independently verify the resolution of the Arrow Electronics lawsuit (trial was scheduled for February 2025) through court records, as the filing provides no closure. Second, confirm current covenant compliance status and whether waivers have been secured post-filing by reviewing 8-K filings and lender communications. Third, assess QMCO's contract manufacturer and key supplier concentration directly through procurement channel checks, given the company's silence on supply chain risks amid declining revenue and financial distress.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