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RGR</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4  |  Borderline: 2  |  Dismissed: 1</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2025-07-30)</w:t>
            </w:r>
          </w:p>
        </w:tc>
        <w:tc>
          <w:tcPr>
            <w:tcW w:type="dxa" w:w="7200"/>
          </w:tcPr>
          <w:p>
            <w:pPr>
              <w:spacing w:before="60" w:after="60"/>
            </w:pPr>
            <w:r>
              <w:rPr>
                <w:rFonts w:ascii="Arial" w:hAnsi="Arial"/>
                <w:sz w:val="17"/>
              </w:rPr>
              <w:t>Vagueness: 0.1067  |  Complexity: 0.3150</w:t>
            </w:r>
          </w:p>
        </w:tc>
      </w:tr>
      <w:tr>
        <w:tc>
          <w:tcPr>
            <w:tcW w:type="dxa" w:w="2880"/>
            <w:shd w:val="clear" w:color="auto" w:fill="EBF3FB"/>
          </w:tcPr>
          <w:p>
            <w:pPr>
              <w:spacing w:before="60" w:after="60"/>
            </w:pPr>
            <w:r>
              <w:rPr>
                <w:rFonts w:ascii="Arial" w:hAnsi="Arial"/>
                <w:b/>
                <w:sz w:val="17"/>
              </w:rPr>
              <w:t>Prior (10-Q 2025-04-30)</w:t>
            </w:r>
          </w:p>
        </w:tc>
        <w:tc>
          <w:tcPr>
            <w:tcW w:type="dxa" w:w="7200"/>
          </w:tcPr>
          <w:p>
            <w:pPr>
              <w:spacing w:before="60" w:after="60"/>
            </w:pPr>
            <w:r>
              <w:rPr>
                <w:rFonts w:ascii="Arial" w:hAnsi="Arial"/>
                <w:sz w:val="17"/>
              </w:rPr>
              <w:t>Vagueness: 0.5162  |  Complexity: 0.0922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-0.4095  |  Complexity: +0.2228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Sturm, Ruger &amp; Company (RGR) presents a divergent disclosure risk signal: Claude Analysis flags HIGH risk based on the wholesale removal of tariff and trade-related risk disclosures during an active U.S. tariff escalation period, while FinBERT ranks the company's vagueness as LOW relative to the firearms/outdoor products sector. The divergence likely reflects that RGR's latest 10-Q is textually crisp but substantively thinner — fewer risk topics discussed rather than vaguer language on existing topics. Downstream procurement teams dependent on RGR's domestic materials sourcing and production planning data should treat this as an actionable monitoring event requiring direct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RGR's latest 10-Q (July 2025) registers a vagueness score of 0.1067, well below the sector mean of 0.5066 and placing it approximately 40 basis points below the sector average. This represents a sharp decline of -0.41 points from the prior quarter's 0.5162. However, the low vagueness score reflects a filing with only 7 qualifying sentences — suggesting the company disclosed less content overall rather than improving clarity. Complexity rose by +0.22 points, consistent with denser remaining language. The FinBERT LOW signal should be interpreted cautiously given the sparse sentence count.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systematic removal of an entire risk category spanning tariff cost pass-through, geopolitical trade disruption, and supply chain vulnerability. The prior 10-Q explicitly warned that tariffs "could lead to increased demand and pricing on domestic materials, which could result in an increase to the Company's cost of products sold and a reduction in its gross margin" , while also cautioning that "trade measures and retaliations may directly impair its business by increasing trade-related costs or disrupting established supply chains" . Both sentences are entirely absent from the current filing despite no abatement in underlying tariff activity.</w:t>
      </w:r>
    </w:p>
    <w:p>
      <w:pPr>
        <w:spacing w:after="120" w:before="40"/>
      </w:pPr>
      <w:r>
        <w:rPr>
          <w:rFonts w:ascii="Arial" w:hAnsi="Arial"/>
          <w:i w:val="0"/>
          <w:color w:val="000000"/>
          <w:sz w:val="18"/>
        </w:rPr>
        <w:t>This removal gains significance through peer comparison. National Presto Industries quantified tariff impacts to the dollar, citing specific gross profit declines from Trump-era tariffs on imported goods , while RGR's forward-looking boilerplate references only generic "firearms control and environmental legislation" with no tariff mention (see 10-K filed 2025-02-19, p.2). Separately, the company removed its self-financing commitment language — previously stating it "intends to continue to finance all of these activities with funds provided by operations" — during the quarter of the Anderson Manufacturing acquisition, potentially signaling a quiet shift in capital allocation strategy.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RGR's disclosure posture diverges materially from sector peers. National Presto Industries provides granular tariff impact quantification while RGR eliminated the topic entirely. Peer selection is a known limitation of this analysis, as NPK operates across diversified segments beyond firearms, but the contrast in tariff transparency remains directionally informative for assessing RGR's disclosure trajectory.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RGR's Q2 2025 gross margin and COGS composition for evidence of domestic material cost inflation that may explain the motive for removing tariff risk language; second, examine cash flow statements and credit facility utilization to determine whether the Anderson Manufacturing acquisition required or will require external financing inconsistent with the removed self-funding commitment; and third, scrutinize the next earnings call transcript for management commentary on tariff exposure and production planning methodology to assess whether omitted disclosures reflect strategic obfuscation or legitimate editorial revision.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