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RR</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6  |  Borderline: 2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2025-08-11)</w:t>
            </w:r>
          </w:p>
        </w:tc>
        <w:tc>
          <w:tcPr>
            <w:tcW w:type="dxa" w:w="7200"/>
          </w:tcPr>
          <w:p>
            <w:pPr>
              <w:spacing w:before="60" w:after="60"/>
            </w:pPr>
            <w:r>
              <w:rPr>
                <w:rFonts w:ascii="Arial" w:hAnsi="Arial"/>
                <w:sz w:val="17"/>
              </w:rPr>
              <w:t>Vagueness: 0.3674  |  Complexity: 0.1612</w:t>
            </w:r>
          </w:p>
        </w:tc>
      </w:tr>
      <w:tr>
        <w:tc>
          <w:tcPr>
            <w:tcW w:type="dxa" w:w="2880"/>
            <w:shd w:val="clear" w:color="auto" w:fill="EBF3FB"/>
          </w:tcPr>
          <w:p>
            <w:pPr>
              <w:spacing w:before="60" w:after="60"/>
            </w:pPr>
            <w:r>
              <w:rPr>
                <w:rFonts w:ascii="Arial" w:hAnsi="Arial"/>
                <w:b/>
                <w:sz w:val="17"/>
              </w:rPr>
              <w:t>Prior (10-Q 2025-05-14)</w:t>
            </w:r>
          </w:p>
        </w:tc>
        <w:tc>
          <w:tcPr>
            <w:tcW w:type="dxa" w:w="7200"/>
          </w:tcPr>
          <w:p>
            <w:pPr>
              <w:spacing w:before="60" w:after="60"/>
            </w:pPr>
            <w:r>
              <w:rPr>
                <w:rFonts w:ascii="Arial" w:hAnsi="Arial"/>
                <w:sz w:val="17"/>
              </w:rPr>
              <w:t>Vagueness: 0.3795  |  Complexity: 0.1600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-0.0121  |  Complexity: +0.0012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RR presents a notable supply chain monitoring concern: Claude Analysis flags HIGH risk based on systematic removal of China sourcing, tariff rate, and cost impact disclosures, while FinBERT ranks the company LOW relative to sector peers on vagueness. This divergence likely reflects RR's small filing size and quarterly format scoring favorably on statistical metrics even as qualitative content has materially degraded. Supply chain managers relying on RR's prior tariff and sourcing disclosures should treat this as an elevated-risk situation warranting direct engagement with management.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RR's latest 10-Q vagueness score of 0.367 sits well below the sector mean of 0.507 and beneath the 25th percentile of 0.420, explaining the LOW FinBERT signal. The modest quarter-over-quarter vagueness decline of -0.012 suggests stable or improving statistical readability. However, the annual 10-K filings show rising vagueness (0.732 to 0.780), and shorter quarterly filings with fewer sentences (213–250) can mechanically produce lower vagueness scores, a known limitation when comparing across filing types.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coordinated removal of China supply chain and tariff disclosures. RR's prior filing explicitly stated that products were assembled by Chinese suppliers and quantified tariff rates between 54% and 145%, with an estimated COGS impact of 1–5% . The current filing replaces this with generic references to "increases in tariffs" within boilerplate macroeconomic language . The prior admission that tariffs "have, and will continue to have, an adverse effect on our results of operations and profit margins" has been deleted without any evidence that exposure was mitigated (see 10-Q filed 2025-05-14, p.20).</w:t>
      </w:r>
    </w:p>
    <w:p>
      <w:pPr>
        <w:spacing w:after="120" w:before="40"/>
      </w:pPr>
      <w:r>
        <w:rPr>
          <w:rFonts w:ascii="Arial" w:hAnsi="Arial"/>
          <w:i w:val="0"/>
          <w:color w:val="000000"/>
          <w:sz w:val="18"/>
        </w:rPr>
        <w:t>Separately, RR removed a specific product development timeline committing to a new-generation robot introduction "by the end of calendar year 2025," replacing it with unrelated partnership references . As the deadline approaches, this omission raises the probability of a delay. The simultaneous disappearance of tariff mitigation commitments and product timelines suggests a broader pattern of reducing management accountability for prior forward-looking statements.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RR scores statistically cleaner than most peers, sitting 14 points below the sector mean on vagueness. However, the peer universe of 185 companies likely includes firms of substantially different scale and complexity, which may limit comparability. The qualitative degradation pattern identified by Claude Analysis is not captured by aggregate statistical metrics, underscoring the value of complementary analytical approaches.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steps: first, directly engage RR management on whether China assembly operations continue for non-flagship products and request an updated tariff COGS impact estimate to compare against the prior 1–5% figure. Second, seek confirmation of the new-generation robot's development status and whether the end-of-2025 introduction timeline remains viable. Third, cross-reference available customs and import data to independently verify whether RR's China sourcing footprint has actually changed or whether disclosures were simply removed.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