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SCKT</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3  |  Borderline: 0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2025-08-14)</w:t>
            </w:r>
          </w:p>
        </w:tc>
        <w:tc>
          <w:tcPr>
            <w:tcW w:type="dxa" w:w="7200"/>
          </w:tcPr>
          <w:p>
            <w:pPr>
              <w:spacing w:before="60" w:after="60"/>
            </w:pPr>
            <w:r>
              <w:rPr>
                <w:rFonts w:ascii="Arial" w:hAnsi="Arial"/>
                <w:sz w:val="17"/>
              </w:rPr>
              <w:t>Vagueness: 0.6506  |  Complexity: 0.0475</w:t>
            </w:r>
          </w:p>
        </w:tc>
      </w:tr>
      <w:tr>
        <w:tc>
          <w:tcPr>
            <w:tcW w:type="dxa" w:w="2880"/>
            <w:shd w:val="clear" w:color="auto" w:fill="EBF3FB"/>
          </w:tcPr>
          <w:p>
            <w:pPr>
              <w:spacing w:before="60" w:after="60"/>
            </w:pPr>
            <w:r>
              <w:rPr>
                <w:rFonts w:ascii="Arial" w:hAnsi="Arial"/>
                <w:b/>
                <w:sz w:val="17"/>
              </w:rPr>
              <w:t>Prior (10-Q 2025-05-08)</w:t>
            </w:r>
          </w:p>
        </w:tc>
        <w:tc>
          <w:tcPr>
            <w:tcW w:type="dxa" w:w="7200"/>
          </w:tcPr>
          <w:p>
            <w:pPr>
              <w:spacing w:before="60" w:after="60"/>
            </w:pPr>
            <w:r>
              <w:rPr>
                <w:rFonts w:ascii="Arial" w:hAnsi="Arial"/>
                <w:sz w:val="17"/>
              </w:rPr>
              <w:t>Vagueness: 0.6625  |  Complexity: 0.0416</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-0.0119  |  Complexity: +0.0059</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Socket Mobile (SCKT) presents a divergent risk signal for supply chain monitoring. Claude Analysis flags MEDIUM concern based on genuine disclosure degradation around workforce contraction and equity compensation changes, while FinBERT ranks the company's vagueness as HIGH, sitting 14.4 percentage points above the sector mean. The divergence likely reflects persistently elevated vagueness in quarterly filings that compounds specific content removals. Analysts sourcing barcode scanning and data capture hardware from SCKT should initiate targeted due diligence on workforce stability and component sourcing strategy.</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SCKT's latest 10-Q vagueness score of 0.6506 places the company well above the sector 75th percentile (0.5957) across a 185-company universe. Quarterly filings consistently score materially higher in vagueness than annual filings (0.65–0.66 vs. 0.46), suggesting boilerplate quarterly narratives mask operational detail. While the most recent quarter showed a marginal vagueness decline of 1.2 points, the absolute level remains elevated, supporting FinBERT's HIGH sector-relative ranking.</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removal of specific headcount and workforce reduction disclosures from MD&amp;A. The prior quarter's filing attributed R&amp;D expense declines to "a decrease in headcount, including retirements and other personnel changes" with precise dollar figures; the current filing substitutes generic "cost-cutting initiatives, particularly lower employee-related costs" . For a company whose value proposition depends on engineering capability, obscuring the pace of workforce contraction raises questions about product development capacity and organizational health.</w:t>
      </w:r>
    </w:p>
    <w:p>
      <w:pPr>
        <w:spacing w:after="120" w:before="40"/>
      </w:pPr>
      <w:r>
        <w:rPr>
          <w:rFonts w:ascii="Arial" w:hAnsi="Arial"/>
          <w:i w:val="0"/>
          <w:color w:val="000000"/>
          <w:sz w:val="18"/>
        </w:rPr>
        <w:t>Second, SCKT eliminated risk factor language warning that management "may decide...to reduce the number of stock options or restricted stocks granted" , potentially concealing active changes to compensation structure that could accelerate attrition of key technical staff. Third, SCKT's gross margin compressed 100 basis points year-over-year, attributed only to "lower revenue" offset by "cost control efforts and the use of lower-cost components" (see 10-Q filed 2025-08-14, p.18), with no mention of inflation or tariff exposure — a notable omission given that peer OSS explicitly discusses tariff pass-through challenges and inflation impacts .</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Against the sector universe, SCKT's vagueness sits meaningfully above the 75th percentile. Peer OSS provides materially more granular cost discussion, including segment-level breakdowns and explicit tariff and inflation commentary. The peer comparison set is limited given SCKT's niche in enterprise barcode scanning hardware, which may somewhat inflate the relative vagueness ranking.</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request SCKT's current total headcount and quarterly attrition data directly from investor relations to assess whether workforce contraction is accelerating beyond disclosed cost-cutting. Second, review proxy filings for changes in equity grant volumes and retention metrics to confirm whether the removed risk language reflects an active policy shift. Third, during earnings calls, press management on tariff exposure in component sourcing and whether the shift to "lower-cost components" entails quality or reliability trade-offs relevant to supply chain reliability.</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16:04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