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SEI</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3  |  Dismissed: 10</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2025-08-01)</w:t>
            </w:r>
          </w:p>
        </w:tc>
        <w:tc>
          <w:tcPr>
            <w:tcW w:type="dxa" w:w="7200"/>
          </w:tcPr>
          <w:p>
            <w:pPr>
              <w:spacing w:before="60" w:after="60"/>
            </w:pPr>
            <w:r>
              <w:rPr>
                <w:rFonts w:ascii="Arial" w:hAnsi="Arial"/>
                <w:sz w:val="17"/>
              </w:rPr>
              <w:t>Vagueness: 0.2109  |  Complexity: 0.2168</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0.2591  |  Complexity: 0.1617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-0.0482  |  Complexity: +0.0551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SEI Investments (SEI) presents low supply chain disclosure risk. Both the Claude Analysis signal (LOW — only one genuine flag among 14 screened) and the FinBERT statistical signal (LOW — vagueness 0.30 standard deviations below sector mean) converge, indicating stable-to-improving transparency. The sole material concern is reduced granularity in capital expenditure disclosures, which merits routine monitoring but does not warrant escalated due diligence. Recommendation: maintain standard surveillance cadence with no change to supply chain risk rating.</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SEI's latest 10-Q vagueness score of 0.2109 sits well below the sector mean of 0.5066 and the 25th percentile of 0.4199, placing it among the most transparent filers in a 185-company universe. The sequential trend is favorable: vagueness declined 4.8 percentage points from the prior quarter while complexity rose modestly. Annual filings show higher vagueness (~0.56–0.59), consistent with broader risk-factor language typical of 10-Ks, but quarterly filings are consistently precise.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genuine degradation flag concerns reduced capital expenditure granularity. The prior filing disclosed ~$490M consolidated capex, ~$195M net company capex, a $10–15M Logistics Solutions range, and itemized cash uses (tax withholding, dividends, TRA payments). The current filing compresses this to ~$295M consolidated capex with ~$190M from the Stateline JV, narrows Logistics to "approximately $10 million," and eliminates the net company capex figure and detailed cash allocation breakdown (see 10-Q filed 2025-08-01, p.31). For a company whose power-solutions growth strategy is capex-intensive, the removal of the net obligation figure modestly reduces visibility into balance-sheet commitments downstream customers may depend on.</w:t>
      </w:r>
    </w:p>
    <w:p>
      <w:pPr>
        <w:spacing w:after="120" w:before="40"/>
      </w:pPr>
      <w:r>
        <w:rPr>
          <w:rFonts w:ascii="Arial" w:hAnsi="Arial"/>
          <w:i w:val="0"/>
          <w:color w:val="000000"/>
          <w:sz w:val="18"/>
        </w:rPr>
        <w:t>A secondary observation involves the convertible notes liquidity risk discussion, which enumerates numerous adverse scenarios but omits quantitative measures of current liquidity adequacy — no cash position, covenant ratios, or revolver availability (see 10-Q filed 2025-08-01, p.39). While classified as borderline, this qualitative-only approach contrasts with peers that disclose specific covenant thresholds. Separately, tariff-related supply chain language was consolidated rather than removed, with minor softening noted , but the substantive risk content appears preserved.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sector universe, SEI ranks in roughly the bottom decile for vagueness — meaning it is among the least vague filers. Most peer-divergence flags (10 of 14 screened) were dismissed because SEI was actually the more transparent discloser. The peer set includes oilfield services and energy equipment companies; cross-sector comparisons to financial-services firms sharing the SEI ticker should be noted as a potential peer-selection limitation.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SEI's net capital expenditure obligation after Stateline JV contributions by cross-referencing the upcoming 10-Q cash flow statement and MD&amp;A, as the removed figure was the clearest measure of the company's standalone funding burden. Second, confirm current liquidity headroom — cash, revolver availability, and covenant compliance — directly from the financial statement notes, since the risk-factor narrative omits these specifics. No escalation to the portfolio manager is warranted at this time; re-evaluate upon the next annual filing.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