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SERV</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3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0.2816  |  Complexity: 0.2454</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0.3039  |  Complexity: 0.2184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-0.0223  |  Complexity: +0.0270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Serve Robotics (SERV) presents a divergent disclosure risk profile for supply chain monitoring purposes. Claude Analysis flags MEDIUM risk driven by materially thin supply chain disclosure and disappearing lease obligation detail, while FinBERT ranks vagueness LOW relative to the sector (22.5 percentage points below mean). The divergence likely reflects strong quantitative disclosure in financial metrics masking qualitative gaps in operationally critical areas. We recommend targeted engagement on supply chain transparency and lease portfolio changes before increasing exposure to counterparties dependent on SERV's fleet scaling timeline.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SERV's FinBERT vagueness score of 0.282 in the latest 10-Q sits well below the sector mean of 0.507, placing it in the lower quartile of the 185-company universe. The trend is modestly favorable, with vagueness declining 2.2 points sequentially. However, the 10-K filings show considerably higher vagueness (0.77–0.84), suggesting quarterly filings benefit from narrower scope rather than superior disclosure practice. Complexity ticked up slightly (+0.027), a negligible shift.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SERV's near-absent supply chain risk disclosure despite critical single-source dependence on Magna for robotic vehicle assembly and an active fleet buildout phase. The entirety of the company's supply chain risk language amounts to two generic sentences: . This is significantly below peer standards, where comparable companies detail raw material sourcing risks, component dependencies, inventory management, and mitigation strategies. For any counterparty dependent on SERV's delivery fleet availability, this opacity is a direct monitoring concern.</w:t>
      </w:r>
    </w:p>
    <w:p>
      <w:pPr>
        <w:spacing w:after="120" w:before="40"/>
      </w:pPr>
      <w:r>
        <w:rPr>
          <w:rFonts w:ascii="Arial" w:hAnsi="Arial"/>
          <w:i w:val="0"/>
          <w:color w:val="000000"/>
          <w:sz w:val="18"/>
        </w:rPr>
        <w:t>Equally concerning is the disappearance of detailed operating lease cost breakdowns between Q1 and Q2 2025. Previously, SERV disclosed line-item lease costs, weighted-average lease terms, discount rates, and a full future minimum payment schedule totaling $2.13 million. The current filing replaces this with a bare statement that no outstanding liability exists , offering no reconciliation or explanation for the portfolio's elimination. Additionally, capital expenditure guidance is entirely absent despite $183.3 million in liquidity and active acquisition integration, with management citing only generic factors .</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SERV's supply chain and geopolitical risk disclosures trail peers materially. Comparable robotics and hardware companies provide component-level sourcing detail, tariff exposure analysis, and inventory management frameworks. SERV's reliance on Magna, a Canadian entity, receives no tariff risk discussion despite the current trade policy environment. A known limitation is that the peer set may not perfectly match SERV's asset-light delivery model, which could partially explain the gap.</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engage SERV management directly on supply chain architecture beyond Magna—specifically single-source component dependencies for sensors, batteries, and compute hardware, and contingency plans for assembly disruption. Second, request a reconciliation of the operating lease portfolio to determine whether leases were terminated, expired, or reclassified between Q1 and Q2 2025. Third, model fleet buildout scenarios using available unit economics data to stress-test the $183.3 million cash runway absent formal capex guidance.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