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SMCI</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2  |  Borderline: 5  |  Dismissed: 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2025-08-28)</w:t>
            </w:r>
          </w:p>
        </w:tc>
        <w:tc>
          <w:tcPr>
            <w:tcW w:type="dxa" w:w="7200"/>
          </w:tcPr>
          <w:p>
            <w:pPr>
              <w:spacing w:before="60" w:after="60"/>
            </w:pPr>
            <w:r>
              <w:rPr>
                <w:rFonts w:ascii="Arial" w:hAnsi="Arial"/>
                <w:sz w:val="17"/>
              </w:rPr>
              <w:t>Vagueness: 0.6234  |  Complexity: 0.0592</w:t>
            </w:r>
          </w:p>
        </w:tc>
      </w:tr>
      <w:tr>
        <w:tc>
          <w:tcPr>
            <w:tcW w:type="dxa" w:w="2880"/>
            <w:shd w:val="clear" w:color="auto" w:fill="EBF3FB"/>
          </w:tcPr>
          <w:p>
            <w:pPr>
              <w:spacing w:before="60" w:after="60"/>
            </w:pPr>
            <w:r>
              <w:rPr>
                <w:rFonts w:ascii="Arial" w:hAnsi="Arial"/>
                <w:b/>
                <w:sz w:val="17"/>
              </w:rPr>
              <w:t>Prior (10-Q 2025-05-12)</w:t>
            </w:r>
          </w:p>
        </w:tc>
        <w:tc>
          <w:tcPr>
            <w:tcW w:type="dxa" w:w="7200"/>
          </w:tcPr>
          <w:p>
            <w:pPr>
              <w:spacing w:before="60" w:after="60"/>
            </w:pPr>
            <w:r>
              <w:rPr>
                <w:rFonts w:ascii="Arial" w:hAnsi="Arial"/>
                <w:sz w:val="17"/>
              </w:rPr>
              <w:t>Vagueness: 0.3755  |  Complexity: 0.0654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+0.2479  |  Complexity: -0.0062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Super Micro Computer (SMCI) presents elevated supply chain disclosure risk. The FinBERT statistical signal is HIGH, placing the company well above the sector 75th percentile in vagueness, while the Claude qualitative analysis rates the signal MEDIUM, identifying two genuine and five borderline flags concentrated in regulatory and supply chain disclosures. The divergence reflects that while specific instances of information removal are individually moderate, the aggregate statistical pattern is pronounced. We recommend enhanced monitoring and direct engagement with SMCI management on regulatory cost transparency and inventory strategy specifics.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SMCI's latest 10-K vagueness score of 0.6234 exceeds the sector mean of 0.5066 by nearly 12 percentage points and sits above the 75th percentile of 0.5957 across 185 peers. Notably, the filing-to-filing trend shows a sharp +0.248 vagueness rebound from the most recent 10-Q, suggesting the annual report reintroduced substantial hedging language. Complexity remains unremarkable at 0.059, indicating the opacity stems from imprecise rather than convoluted language.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SMCI's systematic removal of quantitative detail surrounding its ongoing regulatory exposure. The prior 10-K disclosed $18.6 million in professional fees tied to audit remediation and explicitly referenced DOJ and SEC subpoenas received in late 2024, along with identification of executive officers and directors as defendants. The current filing replaces these with generic references to "circumstances discussed in Item 9" , consolidating previously distinct risk factors into a single abbreviated section . This reduction is especially notable given that no public resolution of the DOJ or SEC matters has been announced.</w:t>
      </w:r>
    </w:p>
    <w:p>
      <w:pPr>
        <w:spacing w:after="120" w:before="40"/>
      </w:pPr>
      <w:r>
        <w:rPr>
          <w:rFonts w:ascii="Arial" w:hAnsi="Arial"/>
          <w:i w:val="0"/>
          <w:color w:val="000000"/>
          <w:sz w:val="18"/>
        </w:rPr>
        <w:t>On the supply chain side, SMCI removed granular inventory management strategy language—previously specifying buffer stock approaches for GPUs, CPUs, memory, and SSDs—while maintaining a 64.4% purchase concentration with its top supplier (see 10-K filed 2025-08-28, p.30). The prior filing's explicit discussion of proactive component stockpiling has been replaced with condensed risk language. Additionally, the data center lease obligation figure dropped from "over $600.0 million" to "over $292.0 million" without clear explanation (see 10-K filed 2025-08-28, p.30), warranting verification of whether this reflects payments, restructuring, or a measurement change.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SMCI's vagueness score positions it in the upper quartile of the 185-company sector universe. This is particularly notable for a company under active regulatory scrutiny, where investors would typically expect enhanced rather than reduced disclosure. However, the peer set spans the broad technology hardware sector, and a narrower comparison against server/infrastructure OEMs specifically may yield different relative positioning—a known limitation of the current sector classification.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covering downstream customers with SMCI supply chain exposure should take three steps: first, review SMCI's Legal Proceedings section and financial statement notes to determine whether the DOJ/SEC subpoena details and cumulative professional fees have been relocated rather than eliminated. Second, engage SMCI investor relations directly on the $308 million reduction in data center lease obligations and on current inventory buffer policies for critical GPU and memory components. Third, monitor quarterly filings for any further condensation of regulatory risk disclosures, which could signal approaching settlement negotiations or escalating legal exposure.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