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Arial" w:hAnsi="Arial"/>
          <w:b/>
          <w:color w:val="1F3D6B"/>
          <w:sz w:val="28"/>
        </w:rPr>
        <w:t>SUPPLIER DISCLOSURE RISK MEMO</w:t>
      </w:r>
    </w:p>
    <w:p>
      <w:pPr>
        <w:spacing w:after="80"/>
      </w:pPr>
      <w:r>
        <w:rPr>
          <w:rFonts w:ascii="Arial" w:hAnsi="Arial"/>
          <w:b/>
          <w:color w:val="1F3D6B"/>
          <w:sz w:val="24"/>
        </w:rPr>
        <w:t>SMR</w:t>
      </w:r>
    </w:p>
    <w:p>
      <w:pPr>
        <w:spacing w:after="40"/>
      </w:pPr>
      <w:r>
        <w:rPr>
          <w:rFonts w:ascii="Arial" w:hAnsi="Arial"/>
          <w:b/>
          <w:color w:val="1F3D6B"/>
          <w:sz w:val="20"/>
        </w:rPr>
        <w:t xml:space="preserve">CLAUDE ANALYSIS: </w:t>
      </w:r>
      <w:r>
        <w:rPr>
          <w:rFonts w:ascii="Arial" w:hAnsi="Arial"/>
          <w:b/>
          <w:color w:val="ED7D31"/>
          <w:sz w:val="20"/>
        </w:rPr>
        <w:t>MEDIUM</w:t>
      </w:r>
      <w:r>
        <w:rPr>
          <w:rFonts w:ascii="Arial" w:hAnsi="Arial"/>
          <w:color w:val="606060"/>
          <w:sz w:val="20"/>
        </w:rPr>
        <w:t xml:space="preserve">    |    </w:t>
      </w:r>
      <w:r>
        <w:rPr>
          <w:rFonts w:ascii="Arial" w:hAnsi="Arial"/>
          <w:b/>
          <w:color w:val="1F3D6B"/>
          <w:sz w:val="20"/>
        </w:rPr>
        <w:t xml:space="preserve">FINBERT VAGUENESS: </w:t>
      </w:r>
      <w:r>
        <w:rPr>
          <w:rFonts w:ascii="Arial" w:hAnsi="Arial"/>
          <w:b/>
          <w:color w:val="388638"/>
          <w:sz w:val="20"/>
        </w:rPr>
        <w:t>LOW</w:t>
      </w:r>
    </w:p>
    <w:p>
      <w:pPr>
        <w:spacing w:after="80"/>
      </w:pPr>
      <w:r>
        <w:rPr>
          <w:rFonts w:ascii="Arial" w:hAnsi="Arial"/>
          <w:color w:val="606060"/>
          <w:sz w:val="17"/>
        </w:rPr>
        <w:t>Generated: 09 April 2026  |  Genuine: 3  |  Borderline: 4  |  Dismissed: 6</w:t>
      </w:r>
    </w:p>
    <w:p>
      <w:pPr>
        <w:spacing w:before="80" w:after="80"/>
        <w:pBdr>
          <w:bottom w:val="single" w:sz="16" w:space="1" w:color="1F3D6B"/>
        </w:pBdr>
      </w:pPr>
    </w:p>
    <w:tbl>
      <w:tblPr>
        <w:tblStyle w:val="TableGrid"/>
        <w:tblW w:type="auto" w:w="0"/>
        <w:jc w:val="left"/>
        <w:tblLook w:firstColumn="1" w:firstRow="1" w:lastColumn="0" w:lastRow="0" w:noHBand="0" w:noVBand="1" w:val="04A0"/>
      </w:tblPr>
      <w:tblGrid>
        <w:gridCol w:w="4680"/>
        <w:gridCol w:w="4680"/>
      </w:tblGrid>
      <w:tr>
        <w:tc>
          <w:tcPr>
            <w:tcW w:type="dxa" w:w="2880"/>
            <w:shd w:val="clear" w:color="auto" w:fill="EBF3FB"/>
          </w:tcPr>
          <w:p>
            <w:pPr>
              <w:spacing w:before="60" w:after="60"/>
            </w:pPr>
            <w:r>
              <w:rPr>
                <w:rFonts w:ascii="Arial" w:hAnsi="Arial"/>
                <w:b/>
                <w:sz w:val="17"/>
              </w:rPr>
              <w:t>Most Recent (10-Q 2025-08-07)</w:t>
            </w:r>
          </w:p>
        </w:tc>
        <w:tc>
          <w:tcPr>
            <w:tcW w:type="dxa" w:w="7200"/>
          </w:tcPr>
          <w:p>
            <w:pPr>
              <w:spacing w:before="60" w:after="60"/>
            </w:pPr>
            <w:r>
              <w:rPr>
                <w:rFonts w:ascii="Arial" w:hAnsi="Arial"/>
                <w:sz w:val="17"/>
              </w:rPr>
              <w:t>Vagueness: 0.4162  |  Complexity: 0.1312</w:t>
            </w:r>
          </w:p>
        </w:tc>
      </w:tr>
      <w:tr>
        <w:tc>
          <w:tcPr>
            <w:tcW w:type="dxa" w:w="2880"/>
            <w:shd w:val="clear" w:color="auto" w:fill="EBF3FB"/>
          </w:tcPr>
          <w:p>
            <w:pPr>
              <w:spacing w:before="60" w:after="60"/>
            </w:pPr>
            <w:r>
              <w:rPr>
                <w:rFonts w:ascii="Arial" w:hAnsi="Arial"/>
                <w:b/>
                <w:sz w:val="17"/>
              </w:rPr>
              <w:t>Prior (10-Q 2025-05-12)</w:t>
            </w:r>
          </w:p>
        </w:tc>
        <w:tc>
          <w:tcPr>
            <w:tcW w:type="dxa" w:w="7200"/>
          </w:tcPr>
          <w:p>
            <w:pPr>
              <w:spacing w:before="60" w:after="60"/>
            </w:pPr>
            <w:r>
              <w:rPr>
                <w:rFonts w:ascii="Arial" w:hAnsi="Arial"/>
                <w:sz w:val="17"/>
              </w:rPr>
              <w:t>Vagueness: 0.3806  |  Complexity: 0.1337</w:t>
            </w:r>
          </w:p>
        </w:tc>
      </w:tr>
      <w:tr>
        <w:tc>
          <w:tcPr>
            <w:tcW w:type="dxa" w:w="2880"/>
            <w:shd w:val="clear" w:color="auto" w:fill="EBF3FB"/>
          </w:tcPr>
          <w:p>
            <w:pPr>
              <w:spacing w:before="60" w:after="60"/>
            </w:pPr>
            <w:r>
              <w:rPr>
                <w:rFonts w:ascii="Arial" w:hAnsi="Arial"/>
                <w:b/>
                <w:sz w:val="17"/>
              </w:rPr>
              <w:t>Change (latest vs prior)</w:t>
            </w:r>
          </w:p>
        </w:tc>
        <w:tc>
          <w:tcPr>
            <w:tcW w:type="dxa" w:w="7200"/>
          </w:tcPr>
          <w:p>
            <w:pPr>
              <w:spacing w:before="60" w:after="60"/>
            </w:pPr>
            <w:r>
              <w:rPr>
                <w:rFonts w:ascii="Arial" w:hAnsi="Arial"/>
                <w:sz w:val="17"/>
              </w:rPr>
              <w:t>Vagueness: +0.0356  |  Complexity: -0.0025</w:t>
            </w:r>
          </w:p>
        </w:tc>
      </w:tr>
      <w:tr>
        <w:tc>
          <w:tcPr>
            <w:tcW w:type="dxa" w:w="2880"/>
            <w:shd w:val="clear" w:color="auto" w:fill="EBF3FB"/>
          </w:tcPr>
          <w:p>
            <w:pPr>
              <w:spacing w:before="60" w:after="60"/>
            </w:pPr>
            <w:r>
              <w:rPr>
                <w:rFonts w:ascii="Arial" w:hAnsi="Arial"/>
                <w:b/>
                <w:sz w:val="17"/>
              </w:rPr>
              <w:t>Sector Average</w:t>
            </w:r>
          </w:p>
        </w:tc>
        <w:tc>
          <w:tcPr>
            <w:tcW w:type="dxa" w:w="7200"/>
          </w:tcPr>
          <w:p>
            <w:pPr>
              <w:spacing w:before="60" w:after="60"/>
            </w:pPr>
            <w:r>
              <w:rPr>
                <w:rFonts w:ascii="Arial" w:hAnsi="Arial"/>
                <w:sz w:val="17"/>
              </w:rPr>
              <w:t>Vagueness: 0.5066  |  P25: 0.4199  |  P75: 0.5957  (185 companies)</w:t>
            </w:r>
          </w:p>
        </w:tc>
      </w:tr>
      <w:tr>
        <w:tc>
          <w:tcPr>
            <w:tcW w:type="dxa" w:w="2880"/>
            <w:shd w:val="clear" w:color="auto" w:fill="EBF3FB"/>
          </w:tcPr>
          <w:p>
            <w:pPr>
              <w:spacing w:before="60" w:after="60"/>
            </w:pPr>
            <w:r>
              <w:rPr>
                <w:rFonts w:ascii="Arial" w:hAnsi="Arial"/>
                <w:b/>
                <w:sz w:val="17"/>
              </w:rPr>
              <w:t>Model Performance</w:t>
            </w:r>
          </w:p>
        </w:tc>
        <w:tc>
          <w:tcPr>
            <w:tcW w:type="dxa" w:w="7200"/>
          </w:tcPr>
          <w:p>
            <w:pPr>
              <w:spacing w:before="60" w:after="60"/>
            </w:pPr>
            <w:r>
              <w:rPr>
                <w:rFonts w:ascii="Arial" w:hAnsi="Arial"/>
                <w:sz w:val="17"/>
              </w:rPr>
              <w:t>Vagueness F1: 0.876  |  Complexity F1: 0.826</w:t>
            </w:r>
          </w:p>
        </w:tc>
      </w:tr>
    </w:tbl>
    <w:p>
      <w:pPr>
        <w:spacing w:after="80"/>
      </w:pPr>
    </w:p>
    <w:p>
      <w:pPr>
        <w:spacing w:before="280" w:after="80"/>
      </w:pPr>
      <w:r>
        <w:rPr>
          <w:rFonts w:ascii="Arial" w:hAnsi="Arial"/>
          <w:b/>
          <w:color w:val="1F3D6B"/>
          <w:sz w:val="20"/>
        </w:rPr>
        <w:t>1. EXECUTIVE SUMMARY</w:t>
      </w:r>
    </w:p>
    <w:p>
      <w:pPr>
        <w:spacing w:before="80" w:after="80"/>
        <w:pBdr>
          <w:bottom w:val="single" w:sz="8" w:space="1" w:color="2E75B6"/>
        </w:pBdr>
      </w:pPr>
    </w:p>
    <w:p>
      <w:pPr>
        <w:spacing w:after="120" w:before="40"/>
      </w:pPr>
      <w:r>
        <w:rPr>
          <w:rFonts w:ascii="Arial" w:hAnsi="Arial"/>
          <w:i w:val="0"/>
          <w:color w:val="000000"/>
          <w:sz w:val="18"/>
        </w:rPr>
        <w:t>NuScale Power (SMR) presents a divergent disclosure signal: Claude Analysis flags MEDIUM risk based on material reductions in quantitative specificity across commitments, contingent liabilities, and geopolitical risks, while FinBERT ranks the company LOW relative to its sector (vagueness 9% below sector mean). The divergence likely reflects that SMR's absolute language remains relatively clean, but targeted deletions of specific dollar figures and risk language between Q1 and Q2 2025 10-Qs represent genuine transparency erosion. Supply chain partners relying on SMR's nuclear deployment timeline should treat this as an elevated monitoring situation requiring direct engagement.</w:t>
      </w:r>
    </w:p>
    <w:p>
      <w:pPr>
        <w:spacing w:before="280" w:after="80"/>
      </w:pPr>
      <w:r>
        <w:rPr>
          <w:rFonts w:ascii="Arial" w:hAnsi="Arial"/>
          <w:b/>
          <w:color w:val="1F3D6B"/>
          <w:sz w:val="20"/>
        </w:rPr>
        <w:t>2. DISCLOSURE QUALITY ASSESSMENT</w:t>
      </w:r>
    </w:p>
    <w:p>
      <w:pPr>
        <w:spacing w:before="80" w:after="80"/>
        <w:pBdr>
          <w:bottom w:val="single" w:sz="8" w:space="1" w:color="2E75B6"/>
        </w:pBdr>
      </w:pPr>
    </w:p>
    <w:p>
      <w:pPr>
        <w:spacing w:after="120" w:before="40"/>
      </w:pPr>
      <w:r>
        <w:rPr>
          <w:rFonts w:ascii="Arial" w:hAnsi="Arial"/>
          <w:i w:val="0"/>
          <w:color w:val="000000"/>
          <w:sz w:val="18"/>
        </w:rPr>
        <w:t>SMR's FinBERT vagueness score of 0.4162 sits well below the sector mean of 0.5066, placing it near the 25th percentile—nominally a positive signal. However, the latest quarter showed a +0.036 increase in vagueness, reversing a prior downtrend. Complexity remains stable. The FinBERT scores capture aggregate filing tone but may underweight the surgical removal of specific quantitative disclosures that Claude's sentence-level analysis detected, explaining the signal divergence.</w:t>
      </w:r>
    </w:p>
    <w:p>
      <w:pPr>
        <w:spacing w:before="280" w:after="80"/>
      </w:pPr>
      <w:r>
        <w:rPr>
          <w:rFonts w:ascii="Arial" w:hAnsi="Arial"/>
          <w:b/>
          <w:color w:val="1F3D6B"/>
          <w:sz w:val="20"/>
        </w:rPr>
        <w:t>3. KEY FINDINGS &amp; EVIDENCE</w:t>
      </w:r>
    </w:p>
    <w:p>
      <w:pPr>
        <w:spacing w:before="80" w:after="80"/>
        <w:pBdr>
          <w:bottom w:val="single" w:sz="8" w:space="1" w:color="2E75B6"/>
        </w:pBdr>
      </w:pPr>
    </w:p>
    <w:p>
      <w:pPr>
        <w:spacing w:after="120" w:before="40"/>
      </w:pPr>
      <w:r>
        <w:rPr>
          <w:rFonts w:ascii="Arial" w:hAnsi="Arial"/>
          <w:i w:val="0"/>
          <w:color w:val="000000"/>
          <w:sz w:val="18"/>
        </w:rPr>
        <w:t>The most material finding is the removal of a detailed $69.3 million LLM purchase commitment payment schedule—previously broken into $24.3M (FY2025), $34.6M (FY2026), and $10.4M (FY2027)—replaced by vague references to unquantified "additional long-term commitments" (see 10-Q filed 2025-08-07, p.19). For a pre-revenue company with constrained authorized share capacity, this cash obligation timeline is critical to assessing liquidity runway. Compounding this, the company eliminated forward-looking financial sustainability language discussing the need to "secure additional customer commitments to support long-term operations" and removed disclosure of a $7.4 million USTDA contingent obligation, leaving only a stale restructuring charge reference (see 10-Q filed 2025-08-07, p.21).</w:t>
      </w:r>
    </w:p>
    <w:p>
      <w:pPr>
        <w:spacing w:after="120" w:before="40"/>
      </w:pPr>
      <w:r>
        <w:rPr>
          <w:rFonts w:ascii="Arial" w:hAnsi="Arial"/>
          <w:i w:val="0"/>
          <w:color w:val="000000"/>
          <w:sz w:val="18"/>
        </w:rPr>
        <w:t>Separately, SMR deleted specific retaliatory tariff cost pass-through risk language during a period of escalated international trade tensions (see 10-Q filed 2025-08-07, p.26), while retaining only generic tariff boilerplate. Given that SMR's commercialization depends on international deployments in Romania and South Korea, this omission is strategically significant. The Romania project's Phase 1 site-specific details were also dropped without updated milestone status (see 10-Q filed 2025-08-07, p.19), raising questions about deployment timeline integrity.</w:t>
      </w:r>
    </w:p>
    <w:p>
      <w:pPr>
        <w:spacing w:before="280" w:after="80"/>
      </w:pPr>
      <w:r>
        <w:rPr>
          <w:rFonts w:ascii="Arial" w:hAnsi="Arial"/>
          <w:b/>
          <w:color w:val="1F3D6B"/>
          <w:sz w:val="20"/>
        </w:rPr>
        <w:t>4. PEER COMPARISON</w:t>
      </w:r>
    </w:p>
    <w:p>
      <w:pPr>
        <w:spacing w:before="80" w:after="80"/>
        <w:pBdr>
          <w:bottom w:val="single" w:sz="8" w:space="1" w:color="2E75B6"/>
        </w:pBdr>
      </w:pPr>
    </w:p>
    <w:p>
      <w:pPr>
        <w:spacing w:after="120" w:before="40"/>
      </w:pPr>
      <w:r>
        <w:rPr>
          <w:rFonts w:ascii="Arial" w:hAnsi="Arial"/>
          <w:i w:val="0"/>
          <w:color w:val="000000"/>
          <w:sz w:val="18"/>
        </w:rPr>
        <w:t>SMR's absolute vagueness score is favorable versus sector peers, but peer-level flag comparisons are of limited utility given the company's unique pre-revenue, capital-constrained profile among industrial-sector comparables. The peer selection methodology may not adequately capture SMR's stage-specific disclosure norms, which is a known limitation of the current sector universe construction.</w:t>
      </w:r>
    </w:p>
    <w:p>
      <w:pPr>
        <w:spacing w:before="280" w:after="80"/>
      </w:pPr>
      <w:r>
        <w:rPr>
          <w:rFonts w:ascii="Arial" w:hAnsi="Arial"/>
          <w:b/>
          <w:color w:val="1F3D6B"/>
          <w:sz w:val="20"/>
        </w:rPr>
        <w:t>5. RECOMMENDED ANALYST ACTIONS</w:t>
      </w:r>
    </w:p>
    <w:p>
      <w:pPr>
        <w:spacing w:before="80" w:after="80"/>
        <w:pBdr>
          <w:bottom w:val="single" w:sz="8" w:space="1" w:color="2E75B6"/>
        </w:pBdr>
      </w:pPr>
    </w:p>
    <w:p>
      <w:pPr>
        <w:spacing w:after="120" w:before="40"/>
      </w:pPr>
      <w:r>
        <w:rPr>
          <w:rFonts w:ascii="Arial" w:hAnsi="Arial"/>
          <w:i w:val="0"/>
          <w:color w:val="000000"/>
          <w:sz w:val="18"/>
        </w:rPr>
        <w:t>Analysts should take three steps: first, directly request from SMR investor relations the current payment schedule for the $69.3M LLM purchase commitment and any additional long-term commitments entered in 2025, including counterparty and timing details. Second, calculate remaining authorized share capacity in dollar terms at current market prices and model cash runway against disclosed burn rates to independently assess liquidity adequacy. Third, monitor the Romania RoPower deployment for Phase 1 completion status through Nuclearelectrica's public disclosures to cross-reference SMR's omitted milestones.</w:t>
      </w:r>
    </w:p>
    <w:p>
      <w:pPr>
        <w:spacing w:before="80" w:after="80"/>
        <w:pBdr>
          <w:bottom w:val="single" w:sz="4" w:space="1" w:color="CCCCCC"/>
        </w:pBdr>
      </w:pPr>
    </w:p>
    <w:tbl>
      <w:tblPr>
        <w:tblStyle w:val="TableGrid"/>
        <w:tblW w:type="auto" w:w="0"/>
        <w:jc w:val="left"/>
        <w:tblLook w:firstColumn="1" w:firstRow="1" w:lastColumn="0" w:lastRow="0" w:noHBand="0" w:noVBand="1" w:val="04A0"/>
      </w:tblPr>
      <w:tblGrid>
        <w:gridCol w:w="4680"/>
        <w:gridCol w:w="4680"/>
      </w:tblGrid>
      <w:tr>
        <w:tc>
          <w:tcPr>
            <w:tcW w:type="dxa" w:w="2880"/>
            <w:shd w:val="clear" w:color="auto" w:fill="EBF3FB"/>
          </w:tcPr>
          <w:p>
            <w:pPr>
              <w:spacing w:before="60" w:after="60"/>
            </w:pPr>
            <w:r>
              <w:rPr>
                <w:rFonts w:ascii="Arial" w:hAnsi="Arial"/>
                <w:b/>
                <w:sz w:val="17"/>
              </w:rPr>
              <w:t>FinBERT classifiers</w:t>
            </w:r>
          </w:p>
        </w:tc>
        <w:tc>
          <w:tcPr>
            <w:tcW w:type="dxa" w:w="7200"/>
          </w:tcPr>
          <w:p>
            <w:pPr>
              <w:spacing w:before="60" w:after="60"/>
            </w:pPr>
            <w:r>
              <w:rPr>
                <w:rFonts w:ascii="Arial" w:hAnsi="Arial"/>
                <w:sz w:val="17"/>
              </w:rPr>
              <w:t>Vagueness (F1 0.876) + Complexity (F1 0.826)</w:t>
            </w:r>
          </w:p>
        </w:tc>
      </w:tr>
      <w:tr>
        <w:tc>
          <w:tcPr>
            <w:tcW w:type="dxa" w:w="2880"/>
            <w:shd w:val="clear" w:color="auto" w:fill="EBF3FB"/>
          </w:tcPr>
          <w:p>
            <w:pPr>
              <w:spacing w:before="60" w:after="60"/>
            </w:pPr>
            <w:r>
              <w:rPr>
                <w:rFonts w:ascii="Arial" w:hAnsi="Arial"/>
                <w:b/>
                <w:sz w:val="17"/>
              </w:rPr>
              <w:t>Screening</w:t>
            </w:r>
          </w:p>
        </w:tc>
        <w:tc>
          <w:tcPr>
            <w:tcW w:type="dxa" w:w="7200"/>
          </w:tcPr>
          <w:p>
            <w:pPr>
              <w:spacing w:before="60" w:after="60"/>
            </w:pPr>
            <w:r>
              <w:rPr>
                <w:rFonts w:ascii="Arial" w:hAnsi="Arial"/>
                <w:sz w:val="17"/>
              </w:rPr>
              <w:t>GPT-4o-mini | Deep analysis: Claude Opus 4.6</w:t>
            </w:r>
          </w:p>
        </w:tc>
      </w:tr>
      <w:tr>
        <w:tc>
          <w:tcPr>
            <w:tcW w:type="dxa" w:w="2880"/>
            <w:shd w:val="clear" w:color="auto" w:fill="EBF3FB"/>
          </w:tcPr>
          <w:p>
            <w:pPr>
              <w:spacing w:before="60" w:after="60"/>
            </w:pPr>
            <w:r>
              <w:rPr>
                <w:rFonts w:ascii="Arial" w:hAnsi="Arial"/>
                <w:b/>
                <w:sz w:val="17"/>
              </w:rPr>
              <w:t>Data source</w:t>
            </w:r>
          </w:p>
        </w:tc>
        <w:tc>
          <w:tcPr>
            <w:tcW w:type="dxa" w:w="7200"/>
          </w:tcPr>
          <w:p>
            <w:pPr>
              <w:spacing w:before="60" w:after="60"/>
            </w:pPr>
            <w:r>
              <w:rPr>
                <w:rFonts w:ascii="Arial" w:hAnsi="Arial"/>
                <w:sz w:val="17"/>
              </w:rPr>
              <w:t>SEC EDGAR (10-K, 10-Q) | Graph: Neo4j</w:t>
            </w:r>
          </w:p>
        </w:tc>
      </w:tr>
    </w:tbl>
    <w:p>
      <w:pPr>
        <w:spacing w:after="80"/>
      </w:pPr>
    </w:p>
    <w:p>
      <w:pPr>
        <w:spacing w:before="80"/>
      </w:pPr>
      <w:r>
        <w:rPr>
          <w:rFonts w:ascii="Arial" w:hAnsi="Arial"/>
          <w:i/>
          <w:color w:val="606060"/>
          <w:sz w:val="14"/>
        </w:rPr>
        <w:t>IMPORTANT NOTICE: This is an automated screening output from the Disclosure Degradation Detection System (DDDS). It does not constitute investment advice. All findings are probabilistic signals requiring independent verification. Consistent with CFA Institute Standard V(A) — Diligence and Reasonable Basis.</w:t>
      </w:r>
    </w:p>
    <w:p>
      <w:r>
        <w:rPr>
          <w:rFonts w:ascii="Arial" w:hAnsi="Arial"/>
          <w:color w:val="606060"/>
          <w:sz w:val="14"/>
        </w:rPr>
        <w:t>Generated: 09 April 2026 16:06  |  DDDS v1.0 — The Transparency Project</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