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SNA</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1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2025-07-17)</w:t>
            </w:r>
          </w:p>
        </w:tc>
        <w:tc>
          <w:tcPr>
            <w:tcW w:type="dxa" w:w="7200"/>
          </w:tcPr>
          <w:p>
            <w:pPr>
              <w:spacing w:before="60" w:after="60"/>
            </w:pPr>
            <w:r>
              <w:rPr>
                <w:rFonts w:ascii="Arial" w:hAnsi="Arial"/>
                <w:sz w:val="17"/>
              </w:rPr>
              <w:t>Vagueness: 0.2084  |  Complexity: 0.0738</w:t>
            </w:r>
          </w:p>
        </w:tc>
      </w:tr>
      <w:tr>
        <w:tc>
          <w:tcPr>
            <w:tcW w:type="dxa" w:w="2880"/>
            <w:shd w:val="clear" w:color="auto" w:fill="EBF3FB"/>
          </w:tcPr>
          <w:p>
            <w:pPr>
              <w:spacing w:before="60" w:after="60"/>
            </w:pPr>
            <w:r>
              <w:rPr>
                <w:rFonts w:ascii="Arial" w:hAnsi="Arial"/>
                <w:b/>
                <w:sz w:val="17"/>
              </w:rPr>
              <w:t>Prior (10-Q 2025-04-17)</w:t>
            </w:r>
          </w:p>
        </w:tc>
        <w:tc>
          <w:tcPr>
            <w:tcW w:type="dxa" w:w="7200"/>
          </w:tcPr>
          <w:p>
            <w:pPr>
              <w:spacing w:before="60" w:after="60"/>
            </w:pPr>
            <w:r>
              <w:rPr>
                <w:rFonts w:ascii="Arial" w:hAnsi="Arial"/>
                <w:sz w:val="17"/>
              </w:rPr>
              <w:t>Vagueness: 0.2559  |  Complexity: 0.0758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-0.0475  |  Complexity: -0.0020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Snap-on Incorporated (SNA) presents minimal supply chain disclosure risk to our portfolio. Both the Claude Analysis signal (LOW) and FinBERT statistical signal (LOW) converge on this assessment. SNA's vagueness score of 0.21 on its latest 10-Q sits well below the sector mean of 0.51, placing it among the most transparent filers in the industrial universe. The sole borderline flag—limited supply chain risk language relative to Stanley Black &amp; Decker—likely reflects genuine differences in import reliance rather than disclosure evasion. No escalation is required; routine monitoring is sufficient.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SNA's FinBERT vagueness score of 0.2084 in its latest 10-Q is approximately 30 percentage points below the sector mean of 0.5066, placing it firmly below the 25th percentile of the 185-company industrial universe. The trend is favorable: vagueness declined by 4.8 points sequentially. Annual 10-K filings (~0.605) are naturally more complex but have remained stable year-over-year. Complexity scores are consistently low at ~0.07, indicating clear, accessible prose throughout.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only borderline finding involves SNA's comparatively limited supply chain risk disclosure relative to peer Stanley Black &amp; Decker (SWK). SNA's 10-Q discusses inventory changes largely in factual, quantitative terms—attributing a $54.3 million inventory build primarily to foreign currency translation —while SWK devotes substantial space to rare earth mineral dependence, port disruptions, and geopolitical sourcing risks . However, this divergence is structurally justified: SNA manufactures predominantly in the U.S. with a vertically integrated model, whereas SWK imports heavily from China and Southeast Asia. The gap reflects differing risk profiles, not disclosure deficiency.</w:t>
      </w:r>
    </w:p>
    <w:p>
      <w:pPr>
        <w:spacing w:after="120" w:before="40"/>
      </w:pPr>
      <w:r>
        <w:rPr>
          <w:rFonts w:ascii="Arial" w:hAnsi="Arial"/>
          <w:i w:val="0"/>
          <w:color w:val="000000"/>
          <w:sz w:val="18"/>
        </w:rPr>
        <w:t>Three additional flags were dismissed outright due to business model mismatches, inverted screening logic, or cases where SNA actually provided superior disclosure versus peers. SNA's segment-level financial reporting was noted as particularly robust. The company's organic sales decline of 1.5% in H1 2025 merits monitoring for whether forward-looking risk disclosures adequately address demand headwinds, but this is a substantive business concern rather than a transparency issue.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SNA's disclosure quality exceeds most industrial sector peers, ranking in approximately the bottom decile for vagueness—a favorable position. The peer comparison to SWK on supply chain disclosure is a known limitation: SWK's heavy Chinese import reliance makes it an imperfect benchmark for SNA's predominantly domestic manufacturing footprint. More suitable comparators would include vertically integrated tool manufacturers with similar geographic production profiles.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SNA's most recent 10-K Risk Factors section to confirm that tariff exposure and geographic sourcing concentration are addressed, even if not prominent in quarterly filings. Second, monitor whether the $54.3 million inventory build continues in subsequent quarters, as persistent accumulation beyond FX effects could signal undisclosed supply chain positioning. Third, track whether SNA adds or modifies supply chain risk language in its next 10-K given escalating U.S. tariff policy—any significant new language could indicate a material shift in exposure.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