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SOTK</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3  |  Borderline: 2  |  Dismissed: 1</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2025-07-10)</w:t>
            </w:r>
          </w:p>
        </w:tc>
        <w:tc>
          <w:tcPr>
            <w:tcW w:type="dxa" w:w="7200"/>
          </w:tcPr>
          <w:p>
            <w:pPr>
              <w:spacing w:before="60" w:after="60"/>
            </w:pPr>
            <w:r>
              <w:rPr>
                <w:rFonts w:ascii="Arial" w:hAnsi="Arial"/>
                <w:sz w:val="17"/>
              </w:rPr>
              <w:t>Vagueness: 0.3631  |  Complexity: 0.1163</w:t>
            </w:r>
          </w:p>
        </w:tc>
      </w:tr>
      <w:tr>
        <w:tc>
          <w:tcPr>
            <w:tcW w:type="dxa" w:w="2880"/>
            <w:shd w:val="clear" w:color="auto" w:fill="EBF3FB"/>
          </w:tcPr>
          <w:p>
            <w:pPr>
              <w:spacing w:before="60" w:after="60"/>
            </w:pPr>
            <w:r>
              <w:rPr>
                <w:rFonts w:ascii="Arial" w:hAnsi="Arial"/>
                <w:b/>
                <w:sz w:val="17"/>
              </w:rPr>
              <w:t>Prior (10-K 2025-05-28)</w:t>
            </w:r>
          </w:p>
        </w:tc>
        <w:tc>
          <w:tcPr>
            <w:tcW w:type="dxa" w:w="7200"/>
          </w:tcPr>
          <w:p>
            <w:pPr>
              <w:spacing w:before="60" w:after="60"/>
            </w:pPr>
            <w:r>
              <w:rPr>
                <w:rFonts w:ascii="Arial" w:hAnsi="Arial"/>
                <w:sz w:val="17"/>
              </w:rPr>
              <w:t>Vagueness: 0.8377  |  Complexity: 0.1092</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-0.4746  |  Complexity: +0.0071</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SOTK presents a divergent risk profile: Claude Analysis flags HIGH disclosure degradation driven by the complete removal of income tax detail and the disappearance of a known California sales tax contingent liability, while FinBERT ranks the company's vagueness as LOW relative to sector peers. This divergence likely reflects that SOTK's filings are linguistically clean but substantively incomplete—material topics are omitted rather than obfuscated. Supply chain customers relying on SOTK should note potential unreported financial stress. Recommend heightened monitoring and direct engagement.</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SOTK's latest FinBERT vagueness score of 0.3631 sits well below the sector mean of 0.5066 and beneath the 25th percentile of 0.4199, explaining the LOW statistical signal. Notably, the 10-K filings (0.84 vagueness) score far higher than 10-Qs (0.27–0.36), suggesting annual filings carry boilerplate-heavy language while quarterlies are lean. The declining vagueness trend (-0.47 from prior filing) reflects shorter, less hedged prose—but this may mask disclosure by omission, which FinBERT's sentence-level scoring cannot capture.</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total elimination of income tax expense discussion from SOTK's Q1 FY2026 MD&amp;A. Prior filings disclosed specific quarterly and year-to-date tax figures, deferred tax asset/liability movements, and R&amp;D credit impacts. The current filing substitutes only a brief unrealized loss figure and generic equipment line items . This is not explained by reporting period differences; even Q1 filings should contain basic tax narrative, and the prior-period comparison filing was substantially more detailed .</w:t>
      </w:r>
    </w:p>
    <w:p>
      <w:pPr>
        <w:spacing w:after="120" w:before="40"/>
      </w:pPr>
      <w:r>
        <w:rPr>
          <w:rFonts w:ascii="Arial" w:hAnsi="Arial"/>
          <w:i w:val="0"/>
          <w:color w:val="000000"/>
          <w:sz w:val="18"/>
        </w:rPr>
        <w:t>Equally concerning is the disappearance of the California sales tax contingent liability. The prior filing disclosed state notification, an $86K customer collection, and a $138K accrual for estimated taxes, penalties, and interest . The current filing offers no update on resolution, adequacy of the accrual, or closure of the matter, replacing this section with unrelated deferred tax asset boilerplate . A known contingent liability that vanishes without explanation is a classic disclosure red flag. Additionally, a customer payment modification linked to reshoring activity may signal tariff-driven cash flow disruption that is being understated.</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Peer TRT provides granular tax discussion including GILTI accounting elections, ETR drivers, and deferred tax realizability assessments—standard practice for industrial companies of comparable complexity. SOTK's near-total absence of tax MD&amp;A represents a meaningful departure from both its own prior filings and peer norms. Peer selection is limited to one comparator, which constrains the robustness of this benchmarking conclusion.</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review SOTK's Q1 FY2026 balance sheet for changes in accrued liabilities and income tax payable lines to determine whether the California sales tax matter was quietly resolved or expanded. Second, compare effective tax rates across the last six quarters to identify unexplained movements that the omitted MD&amp;A narrative should have addressed. Third, investigate the customer payment modification referenced in the filing to assess whether the affected customer represents concentrated revenue exposure and whether the reshoring-driven deferral signals broader demand disruption.</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16:06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