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SPXC</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1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2025-08-01)</w:t>
            </w:r>
          </w:p>
        </w:tc>
        <w:tc>
          <w:tcPr>
            <w:tcW w:type="dxa" w:w="7200"/>
          </w:tcPr>
          <w:p>
            <w:pPr>
              <w:spacing w:before="60" w:after="60"/>
            </w:pPr>
            <w:r>
              <w:rPr>
                <w:rFonts w:ascii="Arial" w:hAnsi="Arial"/>
                <w:sz w:val="17"/>
              </w:rPr>
              <w:t>Vagueness: 0.4195  |  Complexity: 0.1374</w:t>
            </w:r>
          </w:p>
        </w:tc>
      </w:tr>
      <w:tr>
        <w:tc>
          <w:tcPr>
            <w:tcW w:type="dxa" w:w="2880"/>
            <w:shd w:val="clear" w:color="auto" w:fill="EBF3FB"/>
          </w:tcPr>
          <w:p>
            <w:pPr>
              <w:spacing w:before="60" w:after="60"/>
            </w:pPr>
            <w:r>
              <w:rPr>
                <w:rFonts w:ascii="Arial" w:hAnsi="Arial"/>
                <w:b/>
                <w:sz w:val="17"/>
              </w:rPr>
              <w:t>Prior (10-Q 2025-05-02)</w:t>
            </w:r>
          </w:p>
        </w:tc>
        <w:tc>
          <w:tcPr>
            <w:tcW w:type="dxa" w:w="7200"/>
          </w:tcPr>
          <w:p>
            <w:pPr>
              <w:spacing w:before="60" w:after="60"/>
            </w:pPr>
            <w:r>
              <w:rPr>
                <w:rFonts w:ascii="Arial" w:hAnsi="Arial"/>
                <w:sz w:val="17"/>
              </w:rPr>
              <w:t>Vagueness: 0.4647  |  Complexity: 0.1442</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-0.0452  |  Complexity: -0.0068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SPX Technologies (SPXC) presents minimal supply chain disclosure risk. Both the Claude Analysis signal (LOW) and the sector-relative FinBERT signal (LOW) converge on strong disclosure quality. SPXC's latest filing vagueness score of 0.4195 sits below the sector mean of 0.5066, and the trend is improving quarter-over-quarter. One borderline flag relates to the removal of valuation methodology descriptions between quarterly filings, which likely reflects filing cadence rather than obfuscation. No escalation is required; maintain routine monitoring.</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SPXC's FinBERT vagueness score of 0.4195 in its most recent 10-Q places the company approximately at the 25th percentile of the 185-company sector universe—well below the mean of 0.5066 and firmly within the transparent quartile. Vagueness declined by 4.5 basis points sequentially, continuing an improving trend from the Q1 2025 filing (0.4647). Annual 10-K filings carry higher vagueness (~0.79), consistent with their broader boilerplate content, but quarterly disclosures remain sector-leading.</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borderline flag concerns the omission of Monte Carlo simulation methodology for performance share unit (PSU) valuation and fair value hierarchy (Level 1/2/3) definitions between the Q1 and Q2 2025 10-Q filings. The current filing's accounting notes provide standard condensed-filing language but lack the explicit methodological detail present in prior periods . This is most likely attributable to the routine Q1-to-Q2 filing cadence, where cumulative six-month disclosures replace standalone quarterly notes, rather than deliberate degradation.</w:t>
      </w:r>
    </w:p>
    <w:p>
      <w:pPr>
        <w:spacing w:after="120" w:before="40"/>
      </w:pPr>
      <w:r>
        <w:rPr>
          <w:rFonts w:ascii="Arial" w:hAnsi="Arial"/>
          <w:i w:val="0"/>
          <w:color w:val="000000"/>
          <w:sz w:val="18"/>
        </w:rPr>
        <w:t>No genuine flags were identified. The four dismissed flags uniformly reflected instances where SPXC's disclosure exceeded peer comparisons. Provisional fair values related to the KTS and Sigma &amp; Omega acquisitions remain an area to watch for future estimate revisions, but current transparency around these items is adequate.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SPXC discloses at a level consistently above sector peers. Its vagueness score is 8.7 points below the sector mean, placing it in the top quartile of the 185-company industrial universe. The peer divergence flags from the Opus analysis all identified SPXC as the superior discloser relative to comparables, reinforcing confidence in the company's filing quality.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during routine 10-K review in February 2026, confirm that Monte Carlo PSU valuation methodology and fair value hierarchy definitions reappear in the annual filing's full footnote disclosures. Second, monitor upcoming quarterly filings for any material revisions to provisional acquisition fair values (KTS, Sigma &amp; Omega), which could signal estimate uncertainty. Third, continue standard semi-annual DDDS monitoring with no need for elevated frequency given the convergent LOW signals.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