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SSD</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0.3771  |  Complexity: 0.0301</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0.3704  |  Complexity: 0.0518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+0.0067  |  Complexity: -0.0217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Simpson Strong-Tie (SSD) presents minimal supply chain disclosure risk. Both the Claude Analysis signal (LOW) and FinBERT statistical signal (LOW) converge, indicating disclosure quality that is above-sector-average and stable over time. One genuine temporal degradation—the removal of specific capacity assurance language from facility expansion disclosures—warrants monitoring but does not rise to a level requiring immediate portfolio action. Maintain standard surveillance cadence with targeted follow-up on capacity commitments.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SSD's latest 10-Q vagueness score of 0.377 sits well below the sector mean of 0.507 and below the 25th percentile (0.420) of the 185-company universe, placing it among the more transparent filers in its peer group. The quarter-over-quarter vagueness increase of +0.007 is negligible and does not indicate a meaningful trend toward opacity. Complexity scores remain near zero, consistent with straightforward industrial disclosure.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a temporal degradation in SSD's facility expansion disclosure. Prior filings included explicit assurances of "ample capacity to meet our customer needs," specific digital investment commitments, and next-day delivery enhancements (see 10-Q filed 2025-08-08, p.25). The current filing condenses this to a single generic sentence about improving "overall service, production efficiencies and safety" (see 10-Q filed 2025-08-08, p.27). While the language change is modest in isolation, the removal of a forward-looking capacity commitment is the type of signal that can precede lead-time deterioration or service-level erosion for downstream customers.</w:t>
      </w:r>
    </w:p>
    <w:p>
      <w:pPr>
        <w:spacing w:after="120" w:before="40"/>
      </w:pPr>
      <w:r>
        <w:rPr>
          <w:rFonts w:ascii="Arial" w:hAnsi="Arial"/>
          <w:i w:val="0"/>
          <w:color w:val="000000"/>
          <w:sz w:val="18"/>
        </w:rPr>
        <w:t>A secondary observation concerns SSD's lack of quantified geographic sourcing exposure. The company acknowledges tariffs affecting "a portion of our fastener and anchors sales" but does not disclose import percentages, country-level concentration, or specific mitigation actions—a gap relative to peers such as Hillman Solutions, which provides a 33/33/33 geographic breakdown . However, this comparison has limited applicability given SSD's predominantly domestic steel-based manufacturing model versus Hillman's finished-goods import model. SSD's legal and regulatory disclosures are also notably sparse for a multi-jurisdiction manufacturer with active construction projects (see 10-Q filed 2025-08-08, p.20), though no specific liability omission was identified.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SSD's disclosure quality ranks in the top quartile of its 185-company sector universe on vagueness metrics. The Opus analysis noted that several peer-comparison flags were "mis-oriented," actually highlighting SSD's superior specificity on margins, capex, and operational KPIs relative to comparators. A known limitation is that the peer set includes companies with materially different supply chain profiles (e.g., importers vs. domestic manufacturers), which reduces the diagnostic value of certain peer divergence flags.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steps during routine supplier due diligence. First, on the next earnings call or supplier review, probe management on why the "ample capacity" language was removed and request updated metrics on next-day delivery fulfillment rates and facility utilization at the new Columbus, OH and Gallatin, TN sites. Second, seek clarity on the percentage of fastener and anchor COGS exposed to tariff-affected imports and whether facility expansions are partly reshoring-motivated. Third, compare SSD's legal disclosures in the upcoming 10-K against prior annual filings to verify no previously disclosed matters were quietly dropped.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