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STX</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2  |  Borderline: 3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2025-08-01)</w:t>
            </w:r>
          </w:p>
        </w:tc>
        <w:tc>
          <w:tcPr>
            <w:tcW w:type="dxa" w:w="7200"/>
          </w:tcPr>
          <w:p>
            <w:pPr>
              <w:spacing w:before="60" w:after="60"/>
            </w:pPr>
            <w:r>
              <w:rPr>
                <w:rFonts w:ascii="Arial" w:hAnsi="Arial"/>
                <w:sz w:val="17"/>
              </w:rPr>
              <w:t>Vagueness: 0.6698  |  Complexity: 0.0264</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0.4370  |  Complexity: 0.0451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+0.2328  |  Complexity: -0.0187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Seagate Technology Holdings plc (STX) presents a divergent disclosure risk signal for supply chain monitoring purposes. The Claude qualitative analysis flags MEDIUM concern, identifying removal of specific liquidity risk callouts and tax incentive timelines despite a $5 billion debt load. The FinBERT statistical model flags HIGH vagueness, placing STX 16.3 percentage points above the sector mean and above the 75th percentile. This divergence warrants elevated monitoring. We recommend targeted due diligence on STX's debt serviceability and tax structure ahead of procurement contract renewals.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STX's latest 10-K vagueness score of 0.6698 sits well above the sector mean of 0.5066 and exceeds the 75th percentile threshold of 0.5957, placing it among the more opaque filers in the 185-company universe. The sharp jump of +0.2328 from the prior 10-Q reflects the typical quarterly-to-annual filing length effect; however, the 10-K-to-10-K comparison (0.6736 to 0.6698) shows vagueness essentially unchanged at elevated levels, suggesting structural opacity rather than episodic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five explicit liquidity risk callouts from the MD&amp;A summary, including the prior statement that STX may not generate sufficient cash flows to service its indebtedness . This deletion is striking given STX still carries approximately $5 billion in debt with a shareholders' deficit. While earnings improved year-over-year, the removal of language explicitly acknowledging cash flow sufficiency risk reduces forward visibility into management's own assessment of financial stress.</w:t>
      </w:r>
    </w:p>
    <w:p>
      <w:pPr>
        <w:spacing w:after="120" w:before="40"/>
      </w:pPr>
      <w:r>
        <w:rPr>
          <w:rFonts w:ascii="Arial" w:hAnsi="Arial"/>
          <w:i w:val="0"/>
          <w:color w:val="000000"/>
          <w:sz w:val="18"/>
        </w:rPr>
        <w:t>Equally concerning for modeling purposes, STX eliminated its tax incentive expiration timeline, which previously disclosed favorable treatment running "through fiscal year 2036" (see 10-K filed 2025-08-01, p.56). The current filing acknowledges tax incentives in Singapore and Thailand but strips the schedule entirely (see 10-K filed 2025-08-01, p.56), coinciding with passage of the OBBBA legislation that could materially alter STX's international tax structure. Additionally, the year-by-year debt maturity schedule was collapsed into a single aggregate figure, and covenant protections were reduced from two financial tests to one, diminishing refinancing risk transparency.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STX's vagueness score places it above the 75th percentile in a 185-company sector universe, indicating disclosure opacity that is notably worse than the median peer. Interestingly, the Claude analysis noted that several peer-comparison flags were dismissed because STX actually disclosed more than comparators. This suggests STX's statistical opacity may reflect filing style and length rather than uniformly poor practice; however, the known limitation is that the peer set may not perfectly match STX's HDD/storage subsector.</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request from STX investor relations the current tax incentive expiration schedule and detailed year-by-year debt maturity table that were previously disclosed. Second, compare STX's covenant package under the New Credit Agreement against prior terms to assess whether lender protections have weakened, which could signal credit risk not visible in headline metrics. Third, cross-reference the removed liquidity risk language against the Risk Factors section to determine whether these disclosures migrated or were genuinely eliminated.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