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SWK</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1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2025-07-29)</w:t>
            </w:r>
          </w:p>
        </w:tc>
        <w:tc>
          <w:tcPr>
            <w:tcW w:type="dxa" w:w="7200"/>
          </w:tcPr>
          <w:p>
            <w:pPr>
              <w:spacing w:before="60" w:after="60"/>
            </w:pPr>
            <w:r>
              <w:rPr>
                <w:rFonts w:ascii="Arial" w:hAnsi="Arial"/>
                <w:sz w:val="17"/>
              </w:rPr>
              <w:t>Vagueness: 0.3121  |  Complexity: 0.1082</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0.2657  |  Complexity: 0.1244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+0.0464  |  Complexity: -0.0162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Stanley Black &amp; Decker (SWK) presents a divergent disclosure risk signal for supply chain monitoring purposes. Claude Analysis flags MEDIUM concern driven by removal of quarterly Non-GAAP reconciliation detail and elimination of specific tariff mitigation metrics during a period of ~$800M annualized tariff exposure. FinBERT ranks SWK LOW relative to the Industrial sector, with vagueness nearly 0.19 points below the sector mean. The divergence likely reflects targeted opacity in specific high-materiality areas rather than broad-based disclosure degradation. Recommend focused engagement on tariff net-impact estimates and Non-GAAP quarterly breakouts.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SWK's latest 10-Q vagueness score of 0.3121 sits well below the sector 25th percentile (0.4199), placing it among the more transparent Industrial filers. However, the sequential trend warrants attention: vagueness rose from 0.2657 to 0.3121 (+0.0464) between the April and July 2025 10-Qs, partially reversing a prior improvement cycle. Complexity remains stable near 0.11. The FinBERT data suggests SWK's overall filing language remains clearer than peers, though the uptick aligns with the qualitative degradation Claude identified in targeted sections.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SWK's elimination of specific net tariff EPS impact guidance. The Q1 2025 filing disclosed a negative $0.75 EPS impact from tariffs net of mitigations alongside concrete pricing action timelines. The Q2 filing replaces this with only a gross ~$800M annualized tariff figure and vague strategic language about "continuing to execute its plan" (see 10-Q filed 2025-07-29, p.33). The omission of a net figure—despite gross exposure apparently increasing—may signal deteriorating mitigation effectiveness that management prefers not to quantify.</w:t>
      </w:r>
    </w:p>
    <w:p>
      <w:pPr>
        <w:spacing w:after="120" w:before="40"/>
      </w:pPr>
      <w:r>
        <w:rPr>
          <w:rFonts w:ascii="Arial" w:hAnsi="Arial"/>
          <w:i w:val="0"/>
          <w:color w:val="000000"/>
          <w:sz w:val="18"/>
        </w:rPr>
        <w:t>Second, SWK shifted from detailed quarterly GAAP-to-Non-GAAP reconciliation tables to an aggregated six-month summary, disclosing only that "Non-GAAP adjustments totaled $74.6 million for the six months ended June 28, 2025" (see 10-Q filed 2025-07-29, p.34). This aggregation obscures quarter-over-quarter adjustment trends during a period when restructuring charges, tariff-related costs, and inventory write-downs could be materially distorting GAAP earnings. Additionally, SWK's risk factor language on competitive positioning remains generic (see 10-Q filed 2025-07-29, p.50) despite active organic revenue declines of 3% and documented tariff-related shipment disruptions—a disconnect that understates realized pressures.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SWK's FinBERT vagueness consistently ranks below the Industrial sector mean and below the 25th percentile, indicating above-average overall transparency. Peer comparison flags against Snap-on (SNA) and Simpson Strong-Tie (SSD) were largely false positives, with SWK generally providing more detailed disclosures. The peer set is limited to available comparators and may not fully capture SWK's closest competitive cohort in power tools and industrial hardware.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directly engage SWK investor relations to obtain the updated net EPS tariff impact estimate after mitigations and confirm whether the second planned price increase was implemented with expected realization rates. Independently reconstruct quarterly Non-GAAP reconciliations using segment data and press releases to identify whether Q2 2025 adjustments deviated materially from Q1 trends. Monitor the next 10-Q filing for whether granular disclosures are restored or whether the degradation pattern deepens, which would elevate supply chain counterparty risk.</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