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SXI</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1  |  Borderline: 3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2025-08-04)</w:t>
            </w:r>
          </w:p>
        </w:tc>
        <w:tc>
          <w:tcPr>
            <w:tcW w:type="dxa" w:w="7200"/>
          </w:tcPr>
          <w:p>
            <w:pPr>
              <w:spacing w:before="60" w:after="60"/>
            </w:pPr>
            <w:r>
              <w:rPr>
                <w:rFonts w:ascii="Arial" w:hAnsi="Arial"/>
                <w:sz w:val="17"/>
              </w:rPr>
              <w:t>Vagueness: 0.7539  |  Complexity: 0.0533</w:t>
            </w:r>
          </w:p>
        </w:tc>
      </w:tr>
      <w:tr>
        <w:tc>
          <w:tcPr>
            <w:tcW w:type="dxa" w:w="2880"/>
            <w:shd w:val="clear" w:color="auto" w:fill="EBF3FB"/>
          </w:tcPr>
          <w:p>
            <w:pPr>
              <w:spacing w:before="60" w:after="60"/>
            </w:pPr>
            <w:r>
              <w:rPr>
                <w:rFonts w:ascii="Arial" w:hAnsi="Arial"/>
                <w:b/>
                <w:sz w:val="17"/>
              </w:rPr>
              <w:t>Prior (10-Q 2025-05-02)</w:t>
            </w:r>
          </w:p>
        </w:tc>
        <w:tc>
          <w:tcPr>
            <w:tcW w:type="dxa" w:w="7200"/>
          </w:tcPr>
          <w:p>
            <w:pPr>
              <w:spacing w:before="60" w:after="60"/>
            </w:pPr>
            <w:r>
              <w:rPr>
                <w:rFonts w:ascii="Arial" w:hAnsi="Arial"/>
                <w:sz w:val="17"/>
              </w:rPr>
              <w:t>Vagueness: 0.3538  |  Complexity: 0.0581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+0.4001  |  Complexity: -0.0048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Standex International (SXI) presents a divergent signal profile requiring careful interpretation. Claude Analysis rates disclosure risk as LOW, finding most flagged items either relocated or attributable to business-model differences versus peers. However, FinBERT ranks SXI's vagueness as HIGH, sitting 25 percentile points above the sector mean, with a sharp +0.40 vagueness spike in the latest 10-K. The divergence likely reflects boilerplate language patterns in annual filings that Claude's contextual review partially discounts. Recommend targeted verification of restructuring disclosure completeness before next quarterly review.</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SXI's latest 10-K vagueness score of 0.754 places it well above the sector 75th percentile (0.596) and meaningfully above the sector mean (0.507). A sawtooth pattern is evident: quarterly filings run 0.34–0.39, while annual filings jump to ~0.75, suggesting the 10-K contains substantially more qualitative, less precise language than interim reports. The +0.40 increase from the prior quarter is almost entirely driven by this annual-filing effect, though the absolute level remains elevated relative to diversified industrial peers.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restructuring cost quantification from the MD&amp;A overview section. Prior-year disclosure cited specific dollar amounts ($8.2M and $3.8M) with segment-level attribution across Engraving, Electronics, Engineering Technologies, and Corporate, along with shutdown cost categories such as severance and asset write-downs. The current filing replaces this with qualitative language about "narrowing of the portfolio" and "greater management focus on driving operational disciplines" (see 10-K filed 2025-08-04, p.35). Given that restructuring activity continued at approximately $6.9M, this reduction in specificity is a genuine transparency step-down .</w:t>
      </w:r>
    </w:p>
    <w:p>
      <w:pPr>
        <w:spacing w:after="120" w:before="40"/>
      </w:pPr>
      <w:r>
        <w:rPr>
          <w:rFonts w:ascii="Arial" w:hAnsi="Arial"/>
          <w:i w:val="0"/>
          <w:color w:val="000000"/>
          <w:sz w:val="18"/>
        </w:rPr>
        <w:t>A secondary concern involves human capital disclosure, which remains notably thin. SXI provides no headcount, turnover metrics, or talent strategy detail—disclosing only union agreements and a legacy executive retirement program (see 10-K filed 2025-08-04, p.45). During a period of active restructuring, the absence of workforce-level data limits analysts' ability to assess execution risk and labor continuity. Additionally, warranty accrual methodology and product risk quantification are absent from the MD&amp;A narrative, though these may reside in the financial statement notes.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Peer comparisons should be interpreted cautiously, as the matched peer (Hayward Holdings) operates in consumer pool equipment with a cosine distance of 0.875—quite dissimilar from SXI's diversified industrial profile. This is a known limitation of the current peer-selection methodology. Nonetheless, HAYW's substantially richer human capital and warranty disclosures highlight areas where SXI's reporting falls below emerging industrial-sector norms.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cross-reference the FY2025 10-K financial statement notes (particularly restructuring and warranty accrual footnotes) to determine whether quantitative detail was relocated rather than eliminated. If restructuring segment attribution is absent from the notes, this should be raised directly with SXI investor relations ahead of the next earnings call. Finally, review SXI's proxy statement and any sustainability report for workforce metrics; persistent absence across all filings would constitute a governance gap warranting a downgrade in supplier transparency scoring.</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16:08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